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84EE74" w14:textId="17C8C3EF" w:rsidR="002E6605" w:rsidRPr="00A3021E" w:rsidRDefault="002E6605" w:rsidP="002E6605">
      <w:pPr>
        <w:overflowPunct w:val="0"/>
        <w:autoSpaceDE w:val="0"/>
        <w:autoSpaceDN w:val="0"/>
        <w:adjustRightInd w:val="0"/>
        <w:snapToGrid w:val="0"/>
        <w:spacing w:before="0" w:after="0"/>
        <w:jc w:val="left"/>
        <w:textAlignment w:val="baseline"/>
        <w:rPr>
          <w:rFonts w:asciiTheme="minorHAnsi" w:eastAsia="SimSun" w:hAnsiTheme="minorHAnsi" w:cs="Arial"/>
          <w:b/>
          <w:bCs/>
          <w:sz w:val="28"/>
          <w:szCs w:val="24"/>
          <w:lang w:val="en-GB"/>
        </w:rPr>
      </w:pPr>
      <w:r w:rsidRPr="00A3021E">
        <w:rPr>
          <w:rFonts w:asciiTheme="minorHAnsi" w:eastAsia="SimSun" w:hAnsiTheme="minorHAnsi" w:cs="Arial"/>
          <w:b/>
          <w:sz w:val="28"/>
          <w:szCs w:val="24"/>
        </w:rPr>
        <w:t>3GPP TSG RAN WG1 Meeting 92bis</w:t>
      </w:r>
      <w:r>
        <w:rPr>
          <w:rFonts w:asciiTheme="minorHAnsi" w:eastAsia="SimSun" w:hAnsiTheme="minorHAnsi" w:cs="Arial"/>
          <w:b/>
          <w:sz w:val="28"/>
        </w:rPr>
        <w:tab/>
        <w:t xml:space="preserve">     </w:t>
      </w:r>
      <w:r>
        <w:rPr>
          <w:rFonts w:asciiTheme="minorHAnsi" w:eastAsia="SimSun" w:hAnsiTheme="minorHAnsi" w:cs="Arial"/>
          <w:b/>
          <w:sz w:val="28"/>
        </w:rPr>
        <w:tab/>
      </w:r>
      <w:r>
        <w:rPr>
          <w:rFonts w:asciiTheme="minorHAnsi" w:eastAsia="SimSun" w:hAnsiTheme="minorHAnsi" w:cs="Arial"/>
          <w:b/>
          <w:sz w:val="28"/>
        </w:rPr>
        <w:tab/>
        <w:t xml:space="preserve">      </w:t>
      </w:r>
      <w:r>
        <w:rPr>
          <w:rFonts w:asciiTheme="minorHAnsi" w:eastAsia="SimSun" w:hAnsiTheme="minorHAnsi" w:cs="Arial"/>
          <w:b/>
          <w:sz w:val="28"/>
        </w:rPr>
        <w:tab/>
      </w:r>
      <w:r>
        <w:rPr>
          <w:rFonts w:asciiTheme="minorHAnsi" w:eastAsia="SimSun" w:hAnsiTheme="minorHAnsi" w:cs="Arial"/>
          <w:b/>
          <w:sz w:val="28"/>
        </w:rPr>
        <w:tab/>
      </w:r>
      <w:r>
        <w:rPr>
          <w:rFonts w:asciiTheme="minorHAnsi" w:eastAsia="SimSun" w:hAnsiTheme="minorHAnsi" w:cs="Arial"/>
          <w:b/>
          <w:sz w:val="28"/>
        </w:rPr>
        <w:tab/>
        <w:t xml:space="preserve">           </w:t>
      </w:r>
      <w:r w:rsidRPr="00A3021E">
        <w:rPr>
          <w:rFonts w:asciiTheme="minorHAnsi" w:eastAsia="SimSun" w:hAnsiTheme="minorHAnsi" w:cs="Arial"/>
          <w:b/>
          <w:sz w:val="28"/>
          <w:szCs w:val="24"/>
        </w:rPr>
        <w:t>R1-180466</w:t>
      </w:r>
      <w:r>
        <w:rPr>
          <w:rFonts w:asciiTheme="minorHAnsi" w:eastAsia="SimSun" w:hAnsiTheme="minorHAnsi" w:cs="Arial"/>
          <w:b/>
          <w:sz w:val="28"/>
        </w:rPr>
        <w:t>5</w:t>
      </w:r>
      <w:r w:rsidRPr="00A3021E">
        <w:rPr>
          <w:rFonts w:asciiTheme="minorHAnsi" w:eastAsia="SimSun" w:hAnsiTheme="minorHAnsi" w:cs="Arial"/>
          <w:b/>
          <w:sz w:val="28"/>
          <w:szCs w:val="24"/>
        </w:rPr>
        <w:t xml:space="preserve"> </w:t>
      </w:r>
      <w:r w:rsidRPr="00A3021E">
        <w:rPr>
          <w:rFonts w:asciiTheme="minorHAnsi" w:eastAsia="SimSun" w:hAnsiTheme="minorHAnsi" w:cs="Arial"/>
          <w:b/>
          <w:bCs/>
          <w:sz w:val="28"/>
          <w:szCs w:val="24"/>
          <w:lang w:val="en-GB"/>
        </w:rPr>
        <w:t xml:space="preserve">Sanya, China, April 16 – 20, 2018 </w:t>
      </w:r>
    </w:p>
    <w:p w14:paraId="24C8009F" w14:textId="77777777" w:rsidR="00EA743A" w:rsidRPr="00EA743A" w:rsidRDefault="00EA743A" w:rsidP="00EA743A">
      <w:pPr>
        <w:tabs>
          <w:tab w:val="left" w:pos="567"/>
        </w:tabs>
        <w:rPr>
          <w:rStyle w:val="apple-style-span"/>
          <w:rFonts w:cs="Arial"/>
          <w:b/>
          <w:sz w:val="16"/>
          <w:szCs w:val="16"/>
        </w:rPr>
      </w:pPr>
    </w:p>
    <w:p w14:paraId="27CC8F42" w14:textId="32B80F86"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965321">
        <w:rPr>
          <w:b/>
          <w:sz w:val="24"/>
          <w:szCs w:val="24"/>
        </w:rPr>
        <w:t>6.4</w:t>
      </w:r>
    </w:p>
    <w:p w14:paraId="6DA092FE"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44340712" w14:textId="1EE12A86"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3F63ED" w:rsidRPr="00671A08">
        <w:rPr>
          <w:b/>
          <w:sz w:val="24"/>
          <w:szCs w:val="24"/>
        </w:rPr>
        <w:t>Closed Loop</w:t>
      </w:r>
      <w:r w:rsidR="003F63ED">
        <w:rPr>
          <w:sz w:val="24"/>
          <w:szCs w:val="24"/>
        </w:rPr>
        <w:t xml:space="preserve"> </w:t>
      </w:r>
      <w:r w:rsidR="00453805">
        <w:rPr>
          <w:b/>
          <w:sz w:val="24"/>
          <w:szCs w:val="24"/>
        </w:rPr>
        <w:t xml:space="preserve">LBT </w:t>
      </w:r>
      <w:r w:rsidR="0047618F" w:rsidRPr="0047618F">
        <w:rPr>
          <w:b/>
          <w:sz w:val="24"/>
          <w:szCs w:val="24"/>
        </w:rPr>
        <w:t xml:space="preserve">for </w:t>
      </w:r>
      <w:r w:rsidR="003F63ED">
        <w:rPr>
          <w:b/>
          <w:sz w:val="24"/>
          <w:szCs w:val="24"/>
        </w:rPr>
        <w:t xml:space="preserve">License Assisted </w:t>
      </w:r>
      <w:r w:rsidR="0047618F" w:rsidRPr="0047618F">
        <w:rPr>
          <w:b/>
          <w:sz w:val="24"/>
          <w:szCs w:val="24"/>
        </w:rPr>
        <w:t>NR in Unlicensed Band</w:t>
      </w:r>
      <w:r w:rsidR="00453805">
        <w:rPr>
          <w:b/>
          <w:sz w:val="24"/>
          <w:szCs w:val="24"/>
        </w:rPr>
        <w:t>s</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0D0B1DCF" w14:textId="246ED298" w:rsidR="0058113E" w:rsidRDefault="00EC6929" w:rsidP="0058113E">
      <w:pPr>
        <w:pStyle w:val="maintext"/>
        <w:ind w:firstLineChars="0" w:firstLine="0"/>
        <w:rPr>
          <w:rFonts w:ascii="Calibri" w:hAnsi="Calibri"/>
        </w:rPr>
      </w:pPr>
      <w:r>
        <w:rPr>
          <w:rFonts w:ascii="Calibri" w:hAnsi="Calibri"/>
        </w:rPr>
        <w:t>A</w:t>
      </w:r>
      <w:r w:rsidRPr="00233D70">
        <w:rPr>
          <w:rFonts w:ascii="Calibri" w:hAnsi="Calibri"/>
        </w:rPr>
        <w:t xml:space="preserve"> </w:t>
      </w:r>
      <w:r w:rsidR="0047618F">
        <w:rPr>
          <w:rFonts w:ascii="Calibri" w:hAnsi="Calibri"/>
        </w:rPr>
        <w:t>study item has been approved for the feasibility study of using NR in unlicensed band</w:t>
      </w:r>
      <w:r w:rsidR="0058113E">
        <w:rPr>
          <w:rFonts w:ascii="Calibri" w:hAnsi="Calibri"/>
        </w:rPr>
        <w:t xml:space="preserve"> in RAN#75 [1]</w:t>
      </w:r>
      <w:r w:rsidR="0047618F">
        <w:rPr>
          <w:rFonts w:ascii="Calibri" w:hAnsi="Calibri"/>
        </w:rPr>
        <w:t>.</w:t>
      </w:r>
      <w:r w:rsidR="00974CC1">
        <w:rPr>
          <w:rFonts w:ascii="Calibri" w:hAnsi="Calibri"/>
        </w:rPr>
        <w:t xml:space="preserve"> Following the success of LAA in unlicensed band there is a lot of interest </w:t>
      </w:r>
      <w:r w:rsidR="00257F9A">
        <w:rPr>
          <w:rFonts w:ascii="Calibri" w:hAnsi="Calibri"/>
        </w:rPr>
        <w:t>to develop features and functionality that allow NR to operate in unlicensed band as well.</w:t>
      </w:r>
      <w:r w:rsidR="0058113E">
        <w:rPr>
          <w:rFonts w:ascii="Calibri" w:hAnsi="Calibri"/>
        </w:rPr>
        <w:t xml:space="preserve"> In our view there are many features of NR such as self-contained sub-frames, mini slots, flexible numerology that ma</w:t>
      </w:r>
      <w:r w:rsidR="000E5F17">
        <w:rPr>
          <w:rFonts w:ascii="Calibri" w:hAnsi="Calibri"/>
        </w:rPr>
        <w:t>k</w:t>
      </w:r>
      <w:r w:rsidR="0058113E">
        <w:rPr>
          <w:rFonts w:ascii="Calibri" w:hAnsi="Calibri"/>
        </w:rPr>
        <w:t>e NR a better candidate for operating in unlicensed band</w:t>
      </w:r>
      <w:r w:rsidR="00257F9A">
        <w:rPr>
          <w:rFonts w:ascii="Calibri" w:hAnsi="Calibri"/>
        </w:rPr>
        <w:t xml:space="preserve"> </w:t>
      </w:r>
      <w:r w:rsidR="0058113E">
        <w:rPr>
          <w:rFonts w:ascii="Calibri" w:hAnsi="Calibri"/>
        </w:rPr>
        <w:t xml:space="preserve">than LTE. However in order to ensure that we have a robust design of NR that is not only efficient but also forward compatible, we must start by putting forth requirements that </w:t>
      </w:r>
      <w:r w:rsidR="004146B7">
        <w:rPr>
          <w:rFonts w:ascii="Calibri" w:hAnsi="Calibri"/>
        </w:rPr>
        <w:t xml:space="preserve">will </w:t>
      </w:r>
      <w:r w:rsidR="0058113E">
        <w:rPr>
          <w:rFonts w:ascii="Calibri" w:hAnsi="Calibri"/>
        </w:rPr>
        <w:t xml:space="preserve">ensure </w:t>
      </w:r>
      <w:r w:rsidR="004146B7">
        <w:rPr>
          <w:rFonts w:ascii="Calibri" w:hAnsi="Calibri"/>
        </w:rPr>
        <w:t xml:space="preserve">that </w:t>
      </w:r>
      <w:r w:rsidR="0058113E">
        <w:rPr>
          <w:rFonts w:ascii="Calibri" w:hAnsi="Calibri"/>
        </w:rPr>
        <w:t>the design of NR in unlicensed band</w:t>
      </w:r>
      <w:r w:rsidR="004146B7">
        <w:rPr>
          <w:rFonts w:ascii="Calibri" w:hAnsi="Calibri"/>
        </w:rPr>
        <w:t>s</w:t>
      </w:r>
      <w:r w:rsidR="0058113E">
        <w:rPr>
          <w:rFonts w:ascii="Calibri" w:hAnsi="Calibri"/>
        </w:rPr>
        <w:t xml:space="preserve"> achieves these goals. </w:t>
      </w:r>
      <w:r w:rsidR="00257F9A">
        <w:rPr>
          <w:rFonts w:ascii="Calibri" w:hAnsi="Calibri"/>
        </w:rPr>
        <w:t>In this document we explor</w:t>
      </w:r>
      <w:r w:rsidR="00453805">
        <w:rPr>
          <w:rFonts w:ascii="Calibri" w:hAnsi="Calibri"/>
        </w:rPr>
        <w:t>e</w:t>
      </w:r>
      <w:r w:rsidR="00257F9A">
        <w:rPr>
          <w:rFonts w:ascii="Calibri" w:hAnsi="Calibri"/>
        </w:rPr>
        <w:t xml:space="preserve"> NR enhancements </w:t>
      </w:r>
      <w:r w:rsidR="00453805">
        <w:rPr>
          <w:rFonts w:ascii="Calibri" w:hAnsi="Calibri"/>
        </w:rPr>
        <w:t xml:space="preserve">to listen-before-talk (LBT) procedures </w:t>
      </w:r>
      <w:r w:rsidR="00257F9A">
        <w:rPr>
          <w:rFonts w:ascii="Calibri" w:hAnsi="Calibri"/>
        </w:rPr>
        <w:t>that will allow it to operate and co-exist in unlicensed band</w:t>
      </w:r>
      <w:r w:rsidR="00453805">
        <w:rPr>
          <w:rFonts w:ascii="Calibri" w:hAnsi="Calibri"/>
        </w:rPr>
        <w:t>s</w:t>
      </w:r>
      <w:r w:rsidR="00257F9A">
        <w:rPr>
          <w:rFonts w:ascii="Calibri" w:hAnsi="Calibri"/>
        </w:rPr>
        <w:t xml:space="preserve">. </w:t>
      </w:r>
      <w:bookmarkStart w:id="2" w:name="_GoBack"/>
      <w:bookmarkEnd w:id="2"/>
    </w:p>
    <w:p w14:paraId="7E833F0D" w14:textId="77777777" w:rsidR="00B94AAD" w:rsidRDefault="00257F9A" w:rsidP="00257F9A">
      <w:pPr>
        <w:pStyle w:val="Heading1"/>
      </w:pPr>
      <w:r>
        <w:t xml:space="preserve">Functional Requirements of NR Unlicensed </w:t>
      </w:r>
    </w:p>
    <w:p w14:paraId="1ED6D2DE" w14:textId="099BBF09" w:rsidR="00482B14" w:rsidRDefault="00453805" w:rsidP="00482B14">
      <w:pPr>
        <w:pStyle w:val="Heading2"/>
      </w:pPr>
      <w:r>
        <w:t>Multi-Beam LBT</w:t>
      </w:r>
    </w:p>
    <w:p w14:paraId="37F4D7BC" w14:textId="77777777" w:rsidR="006674DA" w:rsidRPr="009E662A" w:rsidRDefault="006674DA" w:rsidP="006674DA">
      <w:pPr>
        <w:spacing w:line="288" w:lineRule="auto"/>
        <w:rPr>
          <w:rFonts w:cs="Arial"/>
        </w:rPr>
      </w:pPr>
      <w:r w:rsidRPr="009E662A">
        <w:rPr>
          <w:rFonts w:cs="Arial"/>
        </w:rPr>
        <w:t>NR systems, especially for mmWave spectrum, will have a large number of antenna elements which could be used for analog, digital or hybrid beamforming. With Time Division Duplex (TDD) transmission, every transmit beam has a corresponding receive beam with identical characteristics. Using this property a transceiver can tell if other users are active on some beams but not on other beams. This allows the transceiver to use the inactive beams for its transmissions, thus increasing channel reuse efficiency without causing interference. Each of the LBT parameters: backoff counter, MCOT size, energy detection threshold, contention window maximum size may be configured jointly or independently for each of the multiple beams and or beam combinations or subsets thereof.</w:t>
      </w:r>
    </w:p>
    <w:p w14:paraId="47052555" w14:textId="77777777" w:rsidR="006674DA" w:rsidRPr="009E662A" w:rsidRDefault="006674DA" w:rsidP="006674DA">
      <w:pPr>
        <w:spacing w:line="288" w:lineRule="auto"/>
        <w:rPr>
          <w:rFonts w:cs="Arial"/>
        </w:rPr>
      </w:pPr>
      <w:r w:rsidRPr="009E662A">
        <w:rPr>
          <w:rFonts w:cs="Arial"/>
        </w:rPr>
        <w:t xml:space="preserve">When using transmit beamforming, a node may have to reduce its transmit power to meet EIRP limits. This, however, does not mean that the node would have to yield to other nodes transmitting at a farther distance since the node is using receive beamforming for LBT. This is because under current rules the node is allowed to increase its energy detection (ED) threshold by the same amount as the reduction in the transmit power (up to 10 dB). </w:t>
      </w:r>
    </w:p>
    <w:p w14:paraId="702102A0" w14:textId="7116DF74" w:rsidR="00853ACA" w:rsidRPr="009E662A" w:rsidRDefault="006674DA" w:rsidP="006674DA">
      <w:pPr>
        <w:spacing w:line="288" w:lineRule="auto"/>
        <w:rPr>
          <w:rFonts w:cs="Arial"/>
        </w:rPr>
      </w:pPr>
      <w:r w:rsidRPr="009E662A">
        <w:rPr>
          <w:rFonts w:cs="Arial"/>
        </w:rPr>
        <w:t>Different sets of beams or beam combinations may have beams with different parameters, such as beamwidth, directivity, gain, etc. For example, a first set of beams may have a wide beamwidth (e.g. 60 degrees) while a second set of beams may have a narrow beamdwidth (e.g. 15 degrees). The different sets may be implemented in such a way that multiple beams of the second subset partially overlap or fully lie within the beamwidth of a beam in the first subset (e.g. 4 narrow beams per wide beam in our example). Furthermore multi-beam LBT may be performed across subsets in a hierarchical fashion. For example, LBT is first performed using wide beams and LBT is only performed using narrow beams if LBT using wide beams failed to clear for transmission. In another example, different beams may correspond to different supported transmissions. For example wide beams may correspond to the transmission of synchronization signals and common control channels, while narrow beams may correspond to the transmission of UE-specific control and data channels.</w:t>
      </w:r>
      <w:r w:rsidR="000D025C" w:rsidRPr="009E662A">
        <w:rPr>
          <w:rFonts w:cs="Arial"/>
        </w:rPr>
        <w:t xml:space="preserve"> </w:t>
      </w:r>
      <w:r w:rsidR="000D025C" w:rsidRPr="009E662A">
        <w:rPr>
          <w:rFonts w:cs="Arial"/>
        </w:rPr>
        <w:t xml:space="preserve">Multi-beam LBT can be used to transmit to multiple users at the same time (Mu-MIMO). It is possible to have a wide beam LBT fail but two narrow beam LBTs pass, clearing the </w:t>
      </w:r>
      <w:r w:rsidR="004E4EDA">
        <w:rPr>
          <w:rFonts w:cs="Arial"/>
        </w:rPr>
        <w:t>channel</w:t>
      </w:r>
      <w:r w:rsidR="004E4EDA" w:rsidRPr="009E662A">
        <w:rPr>
          <w:rFonts w:cs="Arial"/>
        </w:rPr>
        <w:t xml:space="preserve"> </w:t>
      </w:r>
      <w:r w:rsidR="000D025C" w:rsidRPr="009E662A">
        <w:rPr>
          <w:rFonts w:cs="Arial"/>
        </w:rPr>
        <w:t>for those users.</w:t>
      </w:r>
    </w:p>
    <w:p w14:paraId="187BD736" w14:textId="17C2277D" w:rsidR="00853ACA" w:rsidRPr="009E662A" w:rsidRDefault="006674DA" w:rsidP="006674DA">
      <w:pPr>
        <w:spacing w:line="288" w:lineRule="auto"/>
        <w:rPr>
          <w:rFonts w:cs="Arial"/>
        </w:rPr>
      </w:pPr>
      <w:r w:rsidRPr="009E662A">
        <w:rPr>
          <w:rFonts w:cs="Arial"/>
        </w:rPr>
        <w:lastRenderedPageBreak/>
        <w:t xml:space="preserve">Multi-beam LBT can be done at the transmitter end, the receiver end or both. This may for example correspond to the indication of one or more beam-pair-links (BPL) corresponding to a beam at the transmitter and a beam at the intended receiver. Clear channel indication may be </w:t>
      </w:r>
      <w:r w:rsidR="00853ACA" w:rsidRPr="009E662A">
        <w:rPr>
          <w:rFonts w:cs="Arial"/>
        </w:rPr>
        <w:t xml:space="preserve">determined </w:t>
      </w:r>
      <w:r w:rsidRPr="009E662A">
        <w:rPr>
          <w:rFonts w:cs="Arial"/>
        </w:rPr>
        <w:t>jointly or independently and exchanged between the transmitter and intended receiver (e.g. request to send and clear to send messages or signals) on the basis of one or more configured BPLs in case of Multi-beam LBT operation.</w:t>
      </w:r>
    </w:p>
    <w:p w14:paraId="69D6923B" w14:textId="77777777" w:rsidR="006674DA" w:rsidRPr="009E662A" w:rsidRDefault="006674DA" w:rsidP="006674DA">
      <w:pPr>
        <w:spacing w:before="100" w:beforeAutospacing="1" w:after="100" w:afterAutospacing="1" w:line="288" w:lineRule="auto"/>
        <w:rPr>
          <w:rFonts w:cs="Arial"/>
        </w:rPr>
      </w:pPr>
      <w:r w:rsidRPr="009E662A">
        <w:rPr>
          <w:rFonts w:cs="Arial"/>
        </w:rPr>
        <w:t>Contrary to popular belief, we do not think that beam based channel access will degrade hidden node / exposed node problems. This is because of transmit EIRP limits. In fact, the regions where these problems occur become narrower due to beamforming. Therefore, we should see less hidden and exposed node problems when doing beam based access under EIRP limits.</w:t>
      </w:r>
    </w:p>
    <w:p w14:paraId="67B4C4A3" w14:textId="788A2B96" w:rsidR="006674DA" w:rsidRDefault="006674DA" w:rsidP="006674DA">
      <w:pPr>
        <w:spacing w:line="288" w:lineRule="auto"/>
        <w:rPr>
          <w:rFonts w:asciiTheme="minorHAnsi" w:hAnsiTheme="minorHAnsi"/>
          <w:b/>
        </w:rPr>
      </w:pPr>
      <w:r>
        <w:rPr>
          <w:rFonts w:asciiTheme="minorHAnsi" w:hAnsiTheme="minorHAnsi"/>
          <w:b/>
        </w:rPr>
        <w:t>Proposal 1</w:t>
      </w:r>
      <w:r>
        <w:rPr>
          <w:rFonts w:asciiTheme="minorHAnsi" w:hAnsiTheme="minorHAnsi"/>
          <w:b/>
        </w:rPr>
        <w:t xml:space="preserve">: </w:t>
      </w:r>
      <w:r>
        <w:rPr>
          <w:rFonts w:asciiTheme="minorHAnsi" w:hAnsiTheme="minorHAnsi"/>
          <w:b/>
        </w:rPr>
        <w:t xml:space="preserve">NR unlicensed should make efficient use of advanced multi-antenna techniques. </w:t>
      </w:r>
      <w:r>
        <w:rPr>
          <w:rFonts w:asciiTheme="minorHAnsi" w:hAnsiTheme="minorHAnsi"/>
          <w:b/>
        </w:rPr>
        <w:t>Beam based LBT should be considered for improving channel access and reuse</w:t>
      </w:r>
      <w:r w:rsidRPr="00334BB6">
        <w:rPr>
          <w:rFonts w:asciiTheme="minorHAnsi" w:hAnsiTheme="minorHAnsi"/>
          <w:b/>
        </w:rPr>
        <w:t>.</w:t>
      </w:r>
      <w:r>
        <w:rPr>
          <w:rFonts w:asciiTheme="minorHAnsi" w:hAnsiTheme="minorHAnsi"/>
          <w:b/>
        </w:rPr>
        <w:t xml:space="preserve"> </w:t>
      </w:r>
    </w:p>
    <w:p w14:paraId="1CE88DF0" w14:textId="640E64DE" w:rsidR="006674DA" w:rsidRDefault="00853ACA" w:rsidP="006674DA">
      <w:pPr>
        <w:spacing w:line="288" w:lineRule="auto"/>
        <w:rPr>
          <w:rFonts w:cs="Arial"/>
          <w:color w:val="808285"/>
          <w:sz w:val="17"/>
          <w:szCs w:val="17"/>
        </w:rPr>
      </w:pPr>
      <w:r>
        <w:rPr>
          <w:rFonts w:cs="Arial"/>
          <w:noProof/>
          <w:color w:val="808285"/>
          <w:sz w:val="17"/>
          <w:szCs w:val="17"/>
        </w:rPr>
        <w:drawing>
          <wp:anchor distT="0" distB="0" distL="114300" distR="114300" simplePos="0" relativeHeight="251658240" behindDoc="1" locked="0" layoutInCell="1" allowOverlap="1" wp14:anchorId="5831B22B" wp14:editId="36488DFC">
            <wp:simplePos x="0" y="0"/>
            <wp:positionH relativeFrom="column">
              <wp:posOffset>1151063</wp:posOffset>
            </wp:positionH>
            <wp:positionV relativeFrom="page">
              <wp:posOffset>1371600</wp:posOffset>
            </wp:positionV>
            <wp:extent cx="4511040" cy="243078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11040" cy="2430780"/>
                    </a:xfrm>
                    <a:prstGeom prst="rect">
                      <a:avLst/>
                    </a:prstGeom>
                    <a:noFill/>
                  </pic:spPr>
                </pic:pic>
              </a:graphicData>
            </a:graphic>
            <wp14:sizeRelH relativeFrom="margin">
              <wp14:pctWidth>0</wp14:pctWidth>
            </wp14:sizeRelH>
          </wp:anchor>
        </w:drawing>
      </w:r>
    </w:p>
    <w:p w14:paraId="2099F92B" w14:textId="64386F30" w:rsidR="006674DA" w:rsidRPr="00E851E8" w:rsidRDefault="006674DA" w:rsidP="006674DA">
      <w:pPr>
        <w:spacing w:line="288" w:lineRule="auto"/>
      </w:pPr>
    </w:p>
    <w:p w14:paraId="3AE0391A" w14:textId="6AB0A527" w:rsidR="00426B8E" w:rsidRDefault="00426B8E" w:rsidP="00426B8E">
      <w:pPr>
        <w:rPr>
          <w:b/>
        </w:rPr>
      </w:pPr>
    </w:p>
    <w:p w14:paraId="3884A06D" w14:textId="77777777" w:rsidR="00426B8E" w:rsidRDefault="00426B8E" w:rsidP="00257F9A">
      <w:pPr>
        <w:rPr>
          <w:b/>
        </w:rPr>
      </w:pPr>
    </w:p>
    <w:p w14:paraId="6414A970" w14:textId="77777777" w:rsidR="00220E3A" w:rsidRDefault="00220E3A" w:rsidP="00220E3A">
      <w:pPr>
        <w:pStyle w:val="Heading2"/>
      </w:pPr>
      <w:r>
        <w:t>Adaptive LBT</w:t>
      </w:r>
    </w:p>
    <w:p w14:paraId="1A68A04A" w14:textId="3F53A89A" w:rsidR="00220E3A" w:rsidRDefault="00220E3A" w:rsidP="00220E3A">
      <w:pPr>
        <w:rPr>
          <w:b/>
          <w:bCs/>
        </w:rPr>
      </w:pPr>
      <w:r>
        <w:t>NR unlicensed should have features and functionality that allow it to maximize frequency reuse especially when operating under light load or sparse deployment. When load is low or deployment is sparse the likelihood of collisions is rather low. Therefore, LBT mechanism of NR unlicensed should adapt to such conditions and only be utilized when needed.</w:t>
      </w:r>
    </w:p>
    <w:p w14:paraId="3AD9EC4F" w14:textId="0DAC04A6" w:rsidR="00220E3A" w:rsidRDefault="00220E3A" w:rsidP="00220E3A">
      <w:pPr>
        <w:rPr>
          <w:b/>
          <w:bCs/>
        </w:rPr>
      </w:pPr>
      <w:r>
        <w:rPr>
          <w:b/>
          <w:bCs/>
        </w:rPr>
        <w:t>Proposa</w:t>
      </w:r>
      <w:r w:rsidR="00764288">
        <w:rPr>
          <w:b/>
          <w:bCs/>
        </w:rPr>
        <w:t>l 2</w:t>
      </w:r>
      <w:r>
        <w:rPr>
          <w:b/>
          <w:bCs/>
        </w:rPr>
        <w:t xml:space="preserve">: </w:t>
      </w:r>
      <w:r w:rsidR="00764288">
        <w:rPr>
          <w:b/>
          <w:bCs/>
        </w:rPr>
        <w:t>LBT</w:t>
      </w:r>
      <w:r>
        <w:rPr>
          <w:b/>
          <w:bCs/>
        </w:rPr>
        <w:t xml:space="preserve"> techniques should be adaptive and need based. The SI should study mechanisms and define conditions by which </w:t>
      </w:r>
      <w:r w:rsidR="00764288">
        <w:rPr>
          <w:b/>
          <w:bCs/>
        </w:rPr>
        <w:t xml:space="preserve">LBT </w:t>
      </w:r>
      <w:r>
        <w:rPr>
          <w:b/>
          <w:bCs/>
        </w:rPr>
        <w:t>can be turned off and/or made adaptive.</w:t>
      </w:r>
    </w:p>
    <w:p w14:paraId="4B750399" w14:textId="554B59BB" w:rsidR="00220E3A" w:rsidRDefault="00220E3A" w:rsidP="00220E3A">
      <w:pPr>
        <w:rPr>
          <w:b/>
        </w:rPr>
      </w:pPr>
    </w:p>
    <w:p w14:paraId="0D29AA5C" w14:textId="77777777" w:rsidR="00453805" w:rsidRDefault="00453805" w:rsidP="00257F9A">
      <w:pPr>
        <w:rPr>
          <w:b/>
        </w:rPr>
      </w:pPr>
    </w:p>
    <w:p w14:paraId="0FD117D8" w14:textId="45B9BA4E" w:rsidR="00453805" w:rsidRDefault="00453805" w:rsidP="00453805">
      <w:pPr>
        <w:pStyle w:val="Heading2"/>
      </w:pPr>
      <w:r>
        <w:t>Closed-Loop LBT</w:t>
      </w:r>
    </w:p>
    <w:p w14:paraId="35CC7B94" w14:textId="51940209" w:rsidR="00453805" w:rsidRPr="00453805" w:rsidRDefault="00453805" w:rsidP="00453805">
      <w:pPr>
        <w:spacing w:before="0" w:after="100" w:afterAutospacing="1"/>
      </w:pPr>
      <w:r w:rsidRPr="00453805">
        <w:t>As part of the LBT procedure the devices perform spectrum sensing also known as Clear Channel Assessment (CCA), where multiple time/frequency slots are measured with respect to a configured energy detection (ED) threshold. While LBT performed independently at a transmitting node can be used to avoid collisions of transmissions at a target receiver, the performance may suffer from so-called “hidden node problems” if the interfering transmitting nodes are outside the sensing range of the transmitting node as shown in Figure 1.</w:t>
      </w:r>
    </w:p>
    <w:p w14:paraId="00ADA1B4" w14:textId="77777777" w:rsidR="00453805" w:rsidRDefault="00453805" w:rsidP="00453805">
      <w:pPr>
        <w:spacing w:before="100" w:beforeAutospacing="1" w:after="100" w:afterAutospacing="1"/>
        <w:jc w:val="center"/>
        <w:rPr>
          <w:rFonts w:asciiTheme="minorHAnsi" w:hAnsiTheme="minorHAnsi"/>
          <w:color w:val="000000"/>
          <w:sz w:val="22"/>
          <w:szCs w:val="22"/>
        </w:rPr>
      </w:pPr>
      <w:r>
        <w:rPr>
          <w:rFonts w:asciiTheme="minorHAnsi" w:hAnsiTheme="minorHAnsi"/>
          <w:noProof/>
          <w:color w:val="000000"/>
          <w:sz w:val="22"/>
          <w:szCs w:val="22"/>
        </w:rPr>
        <w:lastRenderedPageBreak/>
        <w:drawing>
          <wp:inline distT="0" distB="0" distL="0" distR="0" wp14:anchorId="283F42FC" wp14:editId="28E6DCC6">
            <wp:extent cx="4343400" cy="156867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33439" cy="1601196"/>
                    </a:xfrm>
                    <a:prstGeom prst="rect">
                      <a:avLst/>
                    </a:prstGeom>
                    <a:noFill/>
                  </pic:spPr>
                </pic:pic>
              </a:graphicData>
            </a:graphic>
          </wp:inline>
        </w:drawing>
      </w:r>
    </w:p>
    <w:p w14:paraId="20212E11" w14:textId="3E0B3E8C" w:rsidR="00453805" w:rsidRPr="00453805" w:rsidRDefault="00453805" w:rsidP="00453805">
      <w:pPr>
        <w:spacing w:after="100" w:afterAutospacing="1"/>
        <w:jc w:val="center"/>
        <w:rPr>
          <w:rFonts w:asciiTheme="minorHAnsi" w:hAnsiTheme="minorHAnsi"/>
          <w:b/>
          <w:color w:val="000000"/>
        </w:rPr>
      </w:pPr>
      <w:r w:rsidRPr="00453805">
        <w:rPr>
          <w:rFonts w:asciiTheme="minorHAnsi" w:hAnsiTheme="minorHAnsi"/>
          <w:b/>
          <w:color w:val="000000"/>
        </w:rPr>
        <w:t>Figure 1. Hidden Node Problem</w:t>
      </w:r>
    </w:p>
    <w:p w14:paraId="406769C9" w14:textId="21F2C7D7" w:rsidR="00453805" w:rsidRPr="00B875F7" w:rsidRDefault="00B875F7" w:rsidP="00B875F7">
      <w:pPr>
        <w:spacing w:before="100" w:beforeAutospacing="1" w:after="100" w:afterAutospacing="1"/>
      </w:pPr>
      <w:r w:rsidRPr="00B875F7">
        <w:t xml:space="preserve">However, joint operation of </w:t>
      </w:r>
      <w:r w:rsidR="00453805" w:rsidRPr="00B875F7">
        <w:t xml:space="preserve">licensed (NR-L) and unlicensed (NR-U) carriers </w:t>
      </w:r>
      <w:r w:rsidRPr="00B875F7">
        <w:t>under a</w:t>
      </w:r>
      <w:r w:rsidR="00453805" w:rsidRPr="00B875F7">
        <w:t xml:space="preserve"> </w:t>
      </w:r>
      <w:r w:rsidRPr="00B875F7">
        <w:t>License Assisted Access (</w:t>
      </w:r>
      <w:r w:rsidR="00453805" w:rsidRPr="00B875F7">
        <w:t>LAA</w:t>
      </w:r>
      <w:r w:rsidR="0002554E">
        <w:t>) framework</w:t>
      </w:r>
      <w:r w:rsidRPr="00B875F7">
        <w:t xml:space="preserve"> can be used to help overcome the challenges of hidden nodes and associated latency incurred by LBT procedures on unlicensed carriers. </w:t>
      </w:r>
      <w:r w:rsidR="00453805" w:rsidRPr="00B875F7">
        <w:rPr>
          <w:u w:val="single"/>
        </w:rPr>
        <w:t>Closed-Loop LBT</w:t>
      </w:r>
      <w:r w:rsidR="00453805" w:rsidRPr="00B875F7">
        <w:t xml:space="preserve"> is one </w:t>
      </w:r>
      <w:r>
        <w:t>potential enhancement to basic LBT procedures</w:t>
      </w:r>
      <w:r w:rsidR="00453805" w:rsidRPr="00B875F7">
        <w:t xml:space="preserve"> which </w:t>
      </w:r>
      <w:r>
        <w:t xml:space="preserve">can </w:t>
      </w:r>
      <w:r w:rsidR="00453805" w:rsidRPr="00B875F7">
        <w:t>enable simultaneous carrier sensing at the gNB and UE</w:t>
      </w:r>
      <w:r>
        <w:t>,</w:t>
      </w:r>
      <w:r w:rsidR="00453805" w:rsidRPr="00B875F7">
        <w:t xml:space="preserve"> and then based on LBT feedback </w:t>
      </w:r>
      <w:r>
        <w:t>provide</w:t>
      </w:r>
      <w:r w:rsidR="0002554E">
        <w:t>d</w:t>
      </w:r>
      <w:r>
        <w:t xml:space="preserve"> to</w:t>
      </w:r>
      <w:r w:rsidR="00453805" w:rsidRPr="00B875F7">
        <w:t xml:space="preserve"> the transmitter avoid missed LBT detection at the transmitter and unwanted transmission collisions at the receiver. In addition the LBT feedback may be used to adapt various LBT parameters over time such as sensing threshold, duration, priority, etc.</w:t>
      </w:r>
    </w:p>
    <w:p w14:paraId="5A52097A" w14:textId="166579D4" w:rsidR="00453805" w:rsidRPr="00B875F7" w:rsidRDefault="00B875F7" w:rsidP="00AA62E3">
      <w:pPr>
        <w:spacing w:after="0"/>
      </w:pPr>
      <w:r>
        <w:t xml:space="preserve">An example of </w:t>
      </w:r>
      <w:r w:rsidR="00453805" w:rsidRPr="00B875F7">
        <w:t xml:space="preserve">Closed-Loop LBT is shown in Figure </w:t>
      </w:r>
      <w:r>
        <w:t>2 below</w:t>
      </w:r>
      <w:r w:rsidR="00453805" w:rsidRPr="00B875F7">
        <w:t xml:space="preserve">. The gNB1 serving UE1 sends a </w:t>
      </w:r>
      <w:r>
        <w:t>trigger on</w:t>
      </w:r>
      <w:r w:rsidR="00453805" w:rsidRPr="00B875F7">
        <w:t xml:space="preserve"> the </w:t>
      </w:r>
      <w:r>
        <w:t>licensed (</w:t>
      </w:r>
      <w:r w:rsidR="00453805" w:rsidRPr="00B875F7">
        <w:t>NR-L</w:t>
      </w:r>
      <w:r>
        <w:t>)</w:t>
      </w:r>
      <w:r w:rsidR="00453805" w:rsidRPr="00B875F7">
        <w:t xml:space="preserve"> carrier</w:t>
      </w:r>
      <w:r>
        <w:t xml:space="preserve"> which</w:t>
      </w:r>
      <w:r w:rsidR="00453805" w:rsidRPr="00B875F7">
        <w:t xml:space="preserve"> indicat</w:t>
      </w:r>
      <w:r>
        <w:t>es</w:t>
      </w:r>
      <w:r w:rsidR="00453805" w:rsidRPr="00B875F7">
        <w:t xml:space="preserve"> to the UE to perform </w:t>
      </w:r>
      <w:r>
        <w:t>sensing</w:t>
      </w:r>
      <w:r w:rsidR="00453805" w:rsidRPr="00B875F7">
        <w:t xml:space="preserve"> on the NR-U carrier </w:t>
      </w:r>
      <w:r>
        <w:t>simultaneously</w:t>
      </w:r>
      <w:r w:rsidR="00453805" w:rsidRPr="00B875F7">
        <w:t xml:space="preserve"> with the gNB. After carrier sensing is performed, UE1 provides feedback o</w:t>
      </w:r>
      <w:r>
        <w:t>f</w:t>
      </w:r>
      <w:r w:rsidR="00453805" w:rsidRPr="00B875F7">
        <w:t xml:space="preserve"> the </w:t>
      </w:r>
      <w:r>
        <w:t>CCA result</w:t>
      </w:r>
      <w:r w:rsidR="00453805" w:rsidRPr="00B875F7">
        <w:t xml:space="preserve"> on the NR-L carrier and the network can </w:t>
      </w:r>
      <w:r w:rsidR="0002554E">
        <w:t>determine whether to schedule (DL/</w:t>
      </w:r>
      <w:r>
        <w:t xml:space="preserve">UL) </w:t>
      </w:r>
      <w:r w:rsidR="00453805" w:rsidRPr="00B875F7">
        <w:t>transmission</w:t>
      </w:r>
      <w:r w:rsidR="0002554E">
        <w:t>s</w:t>
      </w:r>
      <w:r w:rsidR="00453805" w:rsidRPr="00B875F7">
        <w:t xml:space="preserve"> on the NR-U carrier </w:t>
      </w:r>
      <w:r w:rsidR="0002554E">
        <w:t>based</w:t>
      </w:r>
      <w:r w:rsidR="00453805" w:rsidRPr="00B875F7">
        <w:t xml:space="preserve"> on the LBT feedback</w:t>
      </w:r>
      <w:r>
        <w:t xml:space="preserve"> </w:t>
      </w:r>
      <w:r w:rsidR="0002554E">
        <w:t xml:space="preserve">in conjunction with </w:t>
      </w:r>
      <w:r>
        <w:t>the result of the gNB’s own sensing.</w:t>
      </w:r>
      <w:r w:rsidR="00453805" w:rsidRPr="00B875F7">
        <w:t xml:space="preserve"> </w:t>
      </w:r>
    </w:p>
    <w:p w14:paraId="21254F10" w14:textId="77777777" w:rsidR="00AA62E3" w:rsidRDefault="00AA62E3" w:rsidP="00453805">
      <w:pPr>
        <w:jc w:val="center"/>
        <w:rPr>
          <w:rFonts w:asciiTheme="minorHAnsi" w:hAnsiTheme="minorHAnsi"/>
          <w:color w:val="000000"/>
          <w:sz w:val="22"/>
          <w:szCs w:val="22"/>
        </w:rPr>
      </w:pPr>
    </w:p>
    <w:p w14:paraId="48ACE859" w14:textId="77777777" w:rsidR="00453805" w:rsidRDefault="00453805" w:rsidP="008F544C">
      <w:pPr>
        <w:spacing w:before="0" w:after="0"/>
        <w:jc w:val="center"/>
        <w:rPr>
          <w:rFonts w:asciiTheme="minorHAnsi" w:hAnsiTheme="minorHAnsi"/>
          <w:color w:val="000000"/>
          <w:sz w:val="22"/>
          <w:szCs w:val="22"/>
        </w:rPr>
      </w:pPr>
      <w:r>
        <w:rPr>
          <w:rFonts w:asciiTheme="minorHAnsi" w:hAnsiTheme="minorHAnsi"/>
          <w:noProof/>
          <w:color w:val="000000"/>
          <w:sz w:val="22"/>
          <w:szCs w:val="22"/>
        </w:rPr>
        <w:drawing>
          <wp:inline distT="0" distB="0" distL="0" distR="0" wp14:anchorId="063AFBCD" wp14:editId="42C3BC96">
            <wp:extent cx="5200650" cy="1878286"/>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0336" cy="1925124"/>
                    </a:xfrm>
                    <a:prstGeom prst="rect">
                      <a:avLst/>
                    </a:prstGeom>
                    <a:noFill/>
                  </pic:spPr>
                </pic:pic>
              </a:graphicData>
            </a:graphic>
          </wp:inline>
        </w:drawing>
      </w:r>
    </w:p>
    <w:p w14:paraId="2C5A79BF" w14:textId="51098F01" w:rsidR="00453805" w:rsidRPr="0002554E" w:rsidRDefault="00453805" w:rsidP="00453805">
      <w:pPr>
        <w:spacing w:before="100" w:beforeAutospacing="1" w:after="100" w:afterAutospacing="1"/>
        <w:jc w:val="center"/>
        <w:rPr>
          <w:rFonts w:asciiTheme="minorHAnsi" w:hAnsiTheme="minorHAnsi"/>
          <w:b/>
          <w:color w:val="000000"/>
          <w:szCs w:val="22"/>
        </w:rPr>
      </w:pPr>
      <w:r w:rsidRPr="0002554E">
        <w:rPr>
          <w:rFonts w:asciiTheme="minorHAnsi" w:hAnsiTheme="minorHAnsi"/>
          <w:b/>
          <w:color w:val="000000"/>
          <w:szCs w:val="22"/>
        </w:rPr>
        <w:t xml:space="preserve">Figure </w:t>
      </w:r>
      <w:r w:rsidR="00B875F7" w:rsidRPr="0002554E">
        <w:rPr>
          <w:rFonts w:asciiTheme="minorHAnsi" w:hAnsiTheme="minorHAnsi"/>
          <w:b/>
          <w:color w:val="000000"/>
          <w:szCs w:val="22"/>
        </w:rPr>
        <w:t>2</w:t>
      </w:r>
      <w:r w:rsidRPr="0002554E">
        <w:rPr>
          <w:rFonts w:asciiTheme="minorHAnsi" w:hAnsiTheme="minorHAnsi"/>
          <w:b/>
          <w:color w:val="000000"/>
          <w:szCs w:val="22"/>
        </w:rPr>
        <w:t>. Example Closed-Loop LBT Scenario</w:t>
      </w:r>
    </w:p>
    <w:p w14:paraId="46B2CA26" w14:textId="79E94005" w:rsidR="00453805" w:rsidRPr="0002554E" w:rsidRDefault="0002554E" w:rsidP="0002554E">
      <w:pPr>
        <w:spacing w:after="0"/>
        <w:rPr>
          <w:b/>
        </w:rPr>
      </w:pPr>
      <w:r w:rsidRPr="0002554E">
        <w:rPr>
          <w:b/>
        </w:rPr>
        <w:t>Observation 1: By utilizing the licensed carrier, LBT procedure can become more robust with lower latency/overhead than techniques which can only utilize unlicensed spectrum.</w:t>
      </w:r>
    </w:p>
    <w:p w14:paraId="20234726" w14:textId="77777777" w:rsidR="0002554E" w:rsidRPr="0002554E" w:rsidRDefault="0002554E" w:rsidP="0002554E">
      <w:pPr>
        <w:spacing w:after="0"/>
        <w:rPr>
          <w:b/>
          <w:szCs w:val="22"/>
          <w:u w:val="single"/>
        </w:rPr>
      </w:pPr>
    </w:p>
    <w:p w14:paraId="67AAD442" w14:textId="3F723C92" w:rsidR="00453805" w:rsidRPr="0002554E" w:rsidRDefault="0002554E" w:rsidP="00453805">
      <w:pPr>
        <w:rPr>
          <w:rFonts w:asciiTheme="minorHAnsi" w:hAnsiTheme="minorHAnsi"/>
          <w:color w:val="000000"/>
          <w:szCs w:val="22"/>
        </w:rPr>
      </w:pPr>
      <w:r w:rsidRPr="0002554E">
        <w:rPr>
          <w:rFonts w:asciiTheme="minorHAnsi" w:hAnsiTheme="minorHAnsi"/>
          <w:color w:val="000000"/>
          <w:szCs w:val="22"/>
        </w:rPr>
        <w:t>Closed-L</w:t>
      </w:r>
      <w:r w:rsidR="00453805" w:rsidRPr="0002554E">
        <w:rPr>
          <w:rFonts w:asciiTheme="minorHAnsi" w:hAnsiTheme="minorHAnsi"/>
          <w:color w:val="000000"/>
          <w:szCs w:val="22"/>
        </w:rPr>
        <w:t xml:space="preserve">oop LBT can </w:t>
      </w:r>
      <w:r w:rsidRPr="0002554E">
        <w:rPr>
          <w:rFonts w:asciiTheme="minorHAnsi" w:hAnsiTheme="minorHAnsi"/>
          <w:color w:val="000000"/>
          <w:szCs w:val="22"/>
        </w:rPr>
        <w:t xml:space="preserve">additionally </w:t>
      </w:r>
      <w:r>
        <w:rPr>
          <w:rFonts w:asciiTheme="minorHAnsi" w:hAnsiTheme="minorHAnsi"/>
          <w:color w:val="000000"/>
          <w:szCs w:val="22"/>
        </w:rPr>
        <w:t>be extended to enable</w:t>
      </w:r>
      <w:r w:rsidRPr="0002554E">
        <w:rPr>
          <w:rFonts w:asciiTheme="minorHAnsi" w:hAnsiTheme="minorHAnsi"/>
          <w:color w:val="000000"/>
          <w:szCs w:val="22"/>
        </w:rPr>
        <w:t xml:space="preserve"> synchron</w:t>
      </w:r>
      <w:r>
        <w:rPr>
          <w:rFonts w:asciiTheme="minorHAnsi" w:hAnsiTheme="minorHAnsi"/>
          <w:color w:val="000000"/>
          <w:szCs w:val="22"/>
        </w:rPr>
        <w:t>ous</w:t>
      </w:r>
      <w:r w:rsidR="00453805" w:rsidRPr="0002554E">
        <w:rPr>
          <w:rFonts w:asciiTheme="minorHAnsi" w:hAnsiTheme="minorHAnsi"/>
          <w:color w:val="000000"/>
          <w:szCs w:val="22"/>
        </w:rPr>
        <w:t xml:space="preserve"> LBT across </w:t>
      </w:r>
      <w:r w:rsidRPr="0002554E">
        <w:rPr>
          <w:rFonts w:asciiTheme="minorHAnsi" w:hAnsiTheme="minorHAnsi"/>
          <w:color w:val="000000"/>
          <w:szCs w:val="22"/>
        </w:rPr>
        <w:t>multiple UEs</w:t>
      </w:r>
      <w:r w:rsidR="00453805" w:rsidRPr="0002554E">
        <w:rPr>
          <w:rFonts w:asciiTheme="minorHAnsi" w:hAnsiTheme="minorHAnsi"/>
          <w:color w:val="000000"/>
          <w:szCs w:val="22"/>
        </w:rPr>
        <w:t xml:space="preserve">. </w:t>
      </w:r>
      <w:r w:rsidRPr="0002554E">
        <w:rPr>
          <w:rFonts w:asciiTheme="minorHAnsi" w:hAnsiTheme="minorHAnsi"/>
          <w:color w:val="000000"/>
          <w:szCs w:val="22"/>
        </w:rPr>
        <w:t>In Figure 3, t</w:t>
      </w:r>
      <w:r w:rsidR="00453805" w:rsidRPr="0002554E">
        <w:rPr>
          <w:rFonts w:asciiTheme="minorHAnsi" w:hAnsiTheme="minorHAnsi"/>
          <w:color w:val="000000"/>
          <w:szCs w:val="22"/>
        </w:rPr>
        <w:t>he gNB1 sends LBT triggers to both UE1 and UE2 which aligns their clear channel assessment (CCA) periods. When both UEs complete the sensing they send LBT feedback messages on the NR-L carrier providing the sensing result. This enables the gNB to determine which of the UEs should be scheduled based on whether the channel is clear on both ends of the gNB/UE link</w:t>
      </w:r>
      <w:r w:rsidR="00AA62E3">
        <w:rPr>
          <w:rFonts w:asciiTheme="minorHAnsi" w:hAnsiTheme="minorHAnsi"/>
          <w:color w:val="000000"/>
          <w:szCs w:val="22"/>
        </w:rPr>
        <w:t>s</w:t>
      </w:r>
      <w:r w:rsidR="00453805" w:rsidRPr="0002554E">
        <w:rPr>
          <w:rFonts w:asciiTheme="minorHAnsi" w:hAnsiTheme="minorHAnsi"/>
          <w:color w:val="000000"/>
          <w:szCs w:val="22"/>
        </w:rPr>
        <w:t xml:space="preserve">. In case multiple UEs indicate clear channel status, the gNB may schedule them simultaneously for example with </w:t>
      </w:r>
      <w:r w:rsidR="00AA62E3">
        <w:rPr>
          <w:rFonts w:asciiTheme="minorHAnsi" w:hAnsiTheme="minorHAnsi"/>
          <w:color w:val="000000"/>
          <w:szCs w:val="22"/>
        </w:rPr>
        <w:t xml:space="preserve">(DL or UL) </w:t>
      </w:r>
      <w:r w:rsidR="00453805" w:rsidRPr="0002554E">
        <w:rPr>
          <w:rFonts w:asciiTheme="minorHAnsi" w:hAnsiTheme="minorHAnsi"/>
          <w:color w:val="000000"/>
          <w:szCs w:val="22"/>
        </w:rPr>
        <w:t>multi-user MIMO transmissions, increasing the spectral efficiency of the NR-U carrier.</w:t>
      </w:r>
    </w:p>
    <w:p w14:paraId="1F9DE7A8" w14:textId="77777777" w:rsidR="00453805" w:rsidRPr="007979AB" w:rsidRDefault="00453805" w:rsidP="00453805">
      <w:pPr>
        <w:rPr>
          <w:rFonts w:asciiTheme="minorHAnsi" w:hAnsiTheme="minorHAnsi"/>
          <w:color w:val="000000"/>
          <w:sz w:val="22"/>
          <w:szCs w:val="22"/>
        </w:rPr>
      </w:pPr>
    </w:p>
    <w:p w14:paraId="07CCDF4B" w14:textId="77777777" w:rsidR="00453805" w:rsidRDefault="00453805" w:rsidP="00AA62E3">
      <w:pPr>
        <w:spacing w:after="0"/>
        <w:jc w:val="center"/>
      </w:pPr>
      <w:r>
        <w:rPr>
          <w:noProof/>
        </w:rPr>
        <w:lastRenderedPageBreak/>
        <w:drawing>
          <wp:inline distT="0" distB="0" distL="0" distR="0" wp14:anchorId="23290EEA" wp14:editId="07B3F068">
            <wp:extent cx="3187835" cy="18478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0494" cy="1878374"/>
                    </a:xfrm>
                    <a:prstGeom prst="rect">
                      <a:avLst/>
                    </a:prstGeom>
                    <a:noFill/>
                  </pic:spPr>
                </pic:pic>
              </a:graphicData>
            </a:graphic>
          </wp:inline>
        </w:drawing>
      </w:r>
    </w:p>
    <w:p w14:paraId="599EE9C1" w14:textId="418653EF" w:rsidR="00453805" w:rsidRPr="0002554E" w:rsidRDefault="00453805" w:rsidP="008F544C">
      <w:pPr>
        <w:spacing w:before="0" w:after="100" w:afterAutospacing="1"/>
        <w:jc w:val="center"/>
        <w:rPr>
          <w:rFonts w:asciiTheme="minorHAnsi" w:hAnsiTheme="minorHAnsi"/>
          <w:b/>
          <w:color w:val="000000"/>
          <w:szCs w:val="22"/>
        </w:rPr>
      </w:pPr>
      <w:r w:rsidRPr="0002554E">
        <w:rPr>
          <w:rFonts w:asciiTheme="minorHAnsi" w:hAnsiTheme="minorHAnsi"/>
          <w:b/>
          <w:color w:val="000000"/>
          <w:szCs w:val="22"/>
        </w:rPr>
        <w:t xml:space="preserve">Figure </w:t>
      </w:r>
      <w:r w:rsidR="00AA62E3">
        <w:rPr>
          <w:rFonts w:asciiTheme="minorHAnsi" w:hAnsiTheme="minorHAnsi"/>
          <w:b/>
          <w:color w:val="000000"/>
          <w:szCs w:val="22"/>
        </w:rPr>
        <w:t>3</w:t>
      </w:r>
      <w:r w:rsidRPr="0002554E">
        <w:rPr>
          <w:rFonts w:asciiTheme="minorHAnsi" w:hAnsiTheme="minorHAnsi"/>
          <w:b/>
          <w:color w:val="000000"/>
          <w:szCs w:val="22"/>
        </w:rPr>
        <w:t>. Multi-User Closed-Loop LBT Scenario</w:t>
      </w:r>
    </w:p>
    <w:p w14:paraId="316BCA50" w14:textId="244518B9" w:rsidR="0002554E" w:rsidRPr="0002554E" w:rsidRDefault="0002554E" w:rsidP="0002554E">
      <w:pPr>
        <w:rPr>
          <w:b/>
        </w:rPr>
      </w:pPr>
      <w:r w:rsidRPr="0002554E">
        <w:rPr>
          <w:b/>
        </w:rPr>
        <w:t xml:space="preserve">Observation </w:t>
      </w:r>
      <w:r>
        <w:rPr>
          <w:b/>
        </w:rPr>
        <w:t>2</w:t>
      </w:r>
      <w:r w:rsidRPr="0002554E">
        <w:rPr>
          <w:b/>
        </w:rPr>
        <w:t xml:space="preserve">: </w:t>
      </w:r>
      <w:r w:rsidR="00AA62E3" w:rsidRPr="00AA62E3">
        <w:rPr>
          <w:b/>
        </w:rPr>
        <w:t>In case multiple UEs indicate clear channel status, the gNB may schedule them simultaneously for example with multi-user MIMO transmissions, increasing the spectral efficiency of the NR-U carrier.</w:t>
      </w:r>
    </w:p>
    <w:p w14:paraId="7938D3A7" w14:textId="4FEE46D3" w:rsidR="00453805" w:rsidRPr="00AA62E3" w:rsidRDefault="00453805" w:rsidP="00453805">
      <w:pPr>
        <w:rPr>
          <w:rFonts w:asciiTheme="minorHAnsi" w:hAnsiTheme="minorHAnsi"/>
          <w:color w:val="000000"/>
          <w:szCs w:val="22"/>
        </w:rPr>
      </w:pPr>
      <w:r w:rsidRPr="00AA62E3">
        <w:rPr>
          <w:rFonts w:asciiTheme="minorHAnsi" w:hAnsiTheme="minorHAnsi"/>
          <w:color w:val="000000"/>
          <w:szCs w:val="22"/>
        </w:rPr>
        <w:t>In addition to achieving synchronizing LBT between the transmitter and receivers on the same cell, Closed Loop LBT can be utilized to achieve LBT synchronization across cells. This is beneficial when nearby cells ar</w:t>
      </w:r>
      <w:r w:rsidR="00AA62E3">
        <w:rPr>
          <w:rFonts w:asciiTheme="minorHAnsi" w:hAnsiTheme="minorHAnsi"/>
          <w:color w:val="000000"/>
          <w:szCs w:val="22"/>
        </w:rPr>
        <w:t>e deployed by the same operator and in</w:t>
      </w:r>
      <w:r w:rsidRPr="00AA62E3">
        <w:rPr>
          <w:rFonts w:asciiTheme="minorHAnsi" w:hAnsiTheme="minorHAnsi"/>
          <w:color w:val="000000"/>
          <w:szCs w:val="22"/>
        </w:rPr>
        <w:t xml:space="preserve"> this case the overhead of LBT can be reduced or eliminated through spectrum reuse</w:t>
      </w:r>
      <w:r w:rsidR="008F544C">
        <w:rPr>
          <w:rFonts w:asciiTheme="minorHAnsi" w:hAnsiTheme="minorHAnsi"/>
          <w:color w:val="000000"/>
          <w:szCs w:val="22"/>
        </w:rPr>
        <w:t xml:space="preserve"> (e.g. reuse-1)</w:t>
      </w:r>
      <w:r w:rsidRPr="00AA62E3">
        <w:rPr>
          <w:rFonts w:asciiTheme="minorHAnsi" w:hAnsiTheme="minorHAnsi"/>
          <w:color w:val="000000"/>
          <w:szCs w:val="22"/>
        </w:rPr>
        <w:t xml:space="preserve"> for transmissions from the same operator, </w:t>
      </w:r>
      <w:r w:rsidR="00AA62E3">
        <w:rPr>
          <w:rFonts w:asciiTheme="minorHAnsi" w:hAnsiTheme="minorHAnsi"/>
          <w:color w:val="000000"/>
          <w:szCs w:val="22"/>
        </w:rPr>
        <w:t>with minimal backhaul coordination</w:t>
      </w:r>
      <w:r w:rsidRPr="00AA62E3">
        <w:rPr>
          <w:rFonts w:asciiTheme="minorHAnsi" w:hAnsiTheme="minorHAnsi"/>
          <w:color w:val="000000"/>
          <w:szCs w:val="22"/>
        </w:rPr>
        <w:t xml:space="preserve">. </w:t>
      </w:r>
      <w:r w:rsidR="0053586B">
        <w:rPr>
          <w:rFonts w:asciiTheme="minorHAnsi" w:hAnsiTheme="minorHAnsi"/>
          <w:color w:val="000000"/>
          <w:szCs w:val="22"/>
        </w:rPr>
        <w:t>Figure 3 gives a</w:t>
      </w:r>
      <w:r w:rsidRPr="00AA62E3">
        <w:rPr>
          <w:rFonts w:asciiTheme="minorHAnsi" w:hAnsiTheme="minorHAnsi"/>
          <w:color w:val="000000"/>
          <w:szCs w:val="22"/>
        </w:rPr>
        <w:t>n example of a multi-</w:t>
      </w:r>
      <w:r w:rsidR="008F544C">
        <w:rPr>
          <w:rFonts w:asciiTheme="minorHAnsi" w:hAnsiTheme="minorHAnsi"/>
          <w:color w:val="000000"/>
          <w:szCs w:val="22"/>
        </w:rPr>
        <w:t>cell</w:t>
      </w:r>
      <w:r w:rsidRPr="00AA62E3">
        <w:rPr>
          <w:rFonts w:asciiTheme="minorHAnsi" w:hAnsiTheme="minorHAnsi"/>
          <w:color w:val="000000"/>
          <w:szCs w:val="22"/>
        </w:rPr>
        <w:t xml:space="preserve"> closed-loop LBT scenario.</w:t>
      </w:r>
      <w:r w:rsidR="00AA62E3" w:rsidRPr="00AA62E3">
        <w:rPr>
          <w:rFonts w:asciiTheme="minorHAnsi" w:hAnsiTheme="minorHAnsi"/>
          <w:color w:val="000000"/>
          <w:szCs w:val="22"/>
        </w:rPr>
        <w:t xml:space="preserve"> </w:t>
      </w:r>
    </w:p>
    <w:p w14:paraId="141CB0B8" w14:textId="77777777" w:rsidR="00453805" w:rsidRPr="00734ACB" w:rsidRDefault="00453805" w:rsidP="00453805">
      <w:pPr>
        <w:rPr>
          <w:rFonts w:asciiTheme="minorHAnsi" w:hAnsiTheme="minorHAnsi"/>
          <w:color w:val="000000"/>
          <w:sz w:val="22"/>
          <w:szCs w:val="22"/>
        </w:rPr>
      </w:pPr>
    </w:p>
    <w:p w14:paraId="2BB450D8" w14:textId="77777777" w:rsidR="00453805" w:rsidRDefault="00453805" w:rsidP="00453805">
      <w:pPr>
        <w:rPr>
          <w:sz w:val="22"/>
          <w:szCs w:val="22"/>
        </w:rPr>
      </w:pPr>
      <w:r>
        <w:rPr>
          <w:noProof/>
          <w:sz w:val="22"/>
          <w:szCs w:val="22"/>
        </w:rPr>
        <w:drawing>
          <wp:inline distT="0" distB="0" distL="0" distR="0" wp14:anchorId="70544B02" wp14:editId="6CCE7CA4">
            <wp:extent cx="6109473" cy="190381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6331" cy="1918420"/>
                    </a:xfrm>
                    <a:prstGeom prst="rect">
                      <a:avLst/>
                    </a:prstGeom>
                    <a:noFill/>
                  </pic:spPr>
                </pic:pic>
              </a:graphicData>
            </a:graphic>
          </wp:inline>
        </w:drawing>
      </w:r>
    </w:p>
    <w:p w14:paraId="3F8E4BAE" w14:textId="3CDC8879" w:rsidR="00453805" w:rsidRPr="0053586B" w:rsidRDefault="00453805" w:rsidP="00453805">
      <w:pPr>
        <w:spacing w:before="100" w:beforeAutospacing="1" w:after="100" w:afterAutospacing="1"/>
        <w:jc w:val="center"/>
        <w:rPr>
          <w:rFonts w:asciiTheme="minorHAnsi" w:hAnsiTheme="minorHAnsi"/>
          <w:b/>
          <w:color w:val="000000"/>
          <w:szCs w:val="22"/>
        </w:rPr>
      </w:pPr>
      <w:r w:rsidRPr="0053586B">
        <w:rPr>
          <w:rFonts w:asciiTheme="minorHAnsi" w:hAnsiTheme="minorHAnsi"/>
          <w:b/>
          <w:color w:val="000000"/>
          <w:szCs w:val="22"/>
        </w:rPr>
        <w:t xml:space="preserve">Figure </w:t>
      </w:r>
      <w:r w:rsidR="00AA62E3" w:rsidRPr="0053586B">
        <w:rPr>
          <w:rFonts w:asciiTheme="minorHAnsi" w:hAnsiTheme="minorHAnsi"/>
          <w:b/>
          <w:color w:val="000000"/>
          <w:szCs w:val="22"/>
        </w:rPr>
        <w:t>4</w:t>
      </w:r>
      <w:r w:rsidRPr="0053586B">
        <w:rPr>
          <w:rFonts w:asciiTheme="minorHAnsi" w:hAnsiTheme="minorHAnsi"/>
          <w:b/>
          <w:color w:val="000000"/>
          <w:szCs w:val="22"/>
        </w:rPr>
        <w:t>. Multi-</w:t>
      </w:r>
      <w:r w:rsidR="008F544C" w:rsidRPr="0053586B">
        <w:rPr>
          <w:rFonts w:asciiTheme="minorHAnsi" w:hAnsiTheme="minorHAnsi"/>
          <w:b/>
          <w:color w:val="000000"/>
          <w:szCs w:val="22"/>
        </w:rPr>
        <w:t>Cell</w:t>
      </w:r>
      <w:r w:rsidRPr="0053586B">
        <w:rPr>
          <w:rFonts w:asciiTheme="minorHAnsi" w:hAnsiTheme="minorHAnsi"/>
          <w:b/>
          <w:color w:val="000000"/>
          <w:szCs w:val="22"/>
        </w:rPr>
        <w:t xml:space="preserve"> Closed-Loop LBT Scenario</w:t>
      </w:r>
    </w:p>
    <w:p w14:paraId="1718915A" w14:textId="77777777" w:rsidR="0053586B" w:rsidRDefault="0053586B" w:rsidP="00AA62E3">
      <w:pPr>
        <w:rPr>
          <w:rFonts w:asciiTheme="minorHAnsi" w:hAnsiTheme="minorHAnsi"/>
          <w:color w:val="000000"/>
          <w:szCs w:val="22"/>
        </w:rPr>
      </w:pPr>
      <w:r w:rsidRPr="00AA62E3">
        <w:rPr>
          <w:rFonts w:asciiTheme="minorHAnsi" w:hAnsiTheme="minorHAnsi"/>
          <w:color w:val="000000"/>
          <w:szCs w:val="22"/>
        </w:rPr>
        <w:t xml:space="preserve">Since the </w:t>
      </w:r>
      <w:r>
        <w:rPr>
          <w:rFonts w:asciiTheme="minorHAnsi" w:hAnsiTheme="minorHAnsi"/>
          <w:color w:val="000000"/>
          <w:szCs w:val="22"/>
        </w:rPr>
        <w:t>r</w:t>
      </w:r>
      <w:r w:rsidRPr="00AA62E3">
        <w:rPr>
          <w:rFonts w:asciiTheme="minorHAnsi" w:hAnsiTheme="minorHAnsi"/>
          <w:color w:val="000000"/>
          <w:szCs w:val="22"/>
        </w:rPr>
        <w:t xml:space="preserve">euse-1 transmissions are from nodes of the same operator the interference can be managed using CSI measurements and reports and is expected to be significantly less of a factor than interference in the case of transmissions from nodes </w:t>
      </w:r>
      <w:r>
        <w:rPr>
          <w:rFonts w:asciiTheme="minorHAnsi" w:hAnsiTheme="minorHAnsi"/>
          <w:color w:val="000000"/>
          <w:szCs w:val="22"/>
        </w:rPr>
        <w:t xml:space="preserve">which are </w:t>
      </w:r>
      <w:r w:rsidRPr="00AA62E3">
        <w:rPr>
          <w:rFonts w:asciiTheme="minorHAnsi" w:hAnsiTheme="minorHAnsi"/>
          <w:color w:val="000000"/>
          <w:szCs w:val="22"/>
        </w:rPr>
        <w:t>not part of the same network.</w:t>
      </w:r>
    </w:p>
    <w:p w14:paraId="0981F83D" w14:textId="0D885437" w:rsidR="00AA62E3" w:rsidRDefault="00AA62E3" w:rsidP="00AA62E3">
      <w:pPr>
        <w:rPr>
          <w:b/>
        </w:rPr>
      </w:pPr>
      <w:r w:rsidRPr="0002554E">
        <w:rPr>
          <w:b/>
        </w:rPr>
        <w:t xml:space="preserve">Observation </w:t>
      </w:r>
      <w:r>
        <w:rPr>
          <w:b/>
        </w:rPr>
        <w:t>3</w:t>
      </w:r>
      <w:r w:rsidRPr="0002554E">
        <w:rPr>
          <w:b/>
        </w:rPr>
        <w:t xml:space="preserve">: </w:t>
      </w:r>
      <w:r w:rsidR="0053586B">
        <w:rPr>
          <w:b/>
        </w:rPr>
        <w:t xml:space="preserve">Closed-Loop LBT can be used to enable functionality for NR-U which maximizes </w:t>
      </w:r>
      <w:r w:rsidR="0053586B" w:rsidRPr="0053586B">
        <w:rPr>
          <w:b/>
        </w:rPr>
        <w:t>frequency reuse</w:t>
      </w:r>
      <w:r w:rsidR="0053586B">
        <w:rPr>
          <w:b/>
        </w:rPr>
        <w:t>,</w:t>
      </w:r>
      <w:r w:rsidR="0053586B" w:rsidRPr="0053586B">
        <w:rPr>
          <w:b/>
        </w:rPr>
        <w:t xml:space="preserve"> especially when operating under light load or sparse deployment</w:t>
      </w:r>
      <w:r w:rsidRPr="00AA62E3">
        <w:rPr>
          <w:b/>
        </w:rPr>
        <w:t>.</w:t>
      </w:r>
    </w:p>
    <w:p w14:paraId="2F7ABF77" w14:textId="0449F382" w:rsidR="00AA62E3" w:rsidRDefault="005553CE" w:rsidP="00AA62E3">
      <w:pPr>
        <w:rPr>
          <w:b/>
        </w:rPr>
      </w:pPr>
      <w:r w:rsidRPr="005553CE">
        <w:rPr>
          <w:b/>
        </w:rPr>
        <w:t xml:space="preserve">Proposal </w:t>
      </w:r>
      <w:r w:rsidR="00764288">
        <w:rPr>
          <w:b/>
        </w:rPr>
        <w:t>3</w:t>
      </w:r>
      <w:r w:rsidRPr="005553CE">
        <w:rPr>
          <w:b/>
        </w:rPr>
        <w:t xml:space="preserve">: </w:t>
      </w:r>
      <w:r w:rsidR="00AA62E3">
        <w:rPr>
          <w:b/>
        </w:rPr>
        <w:t xml:space="preserve">The NR-U SI should study </w:t>
      </w:r>
      <w:r w:rsidR="00AA62E3" w:rsidRPr="00881613">
        <w:rPr>
          <w:b/>
        </w:rPr>
        <w:t xml:space="preserve">Closed-Loop LBT techniques which utilize licensed spectrum </w:t>
      </w:r>
      <w:r w:rsidR="00881613">
        <w:rPr>
          <w:b/>
        </w:rPr>
        <w:t xml:space="preserve">signaling and UE sensing feedback </w:t>
      </w:r>
      <w:r w:rsidR="00AA62E3" w:rsidRPr="00881613">
        <w:rPr>
          <w:b/>
        </w:rPr>
        <w:t>for avoiding hidden</w:t>
      </w:r>
      <w:r w:rsidR="008F544C">
        <w:rPr>
          <w:b/>
        </w:rPr>
        <w:t>/exposed</w:t>
      </w:r>
      <w:r w:rsidR="00AA62E3" w:rsidRPr="00881613">
        <w:rPr>
          <w:b/>
        </w:rPr>
        <w:t xml:space="preserve"> node problems</w:t>
      </w:r>
      <w:r w:rsidR="00881613">
        <w:rPr>
          <w:b/>
        </w:rPr>
        <w:t xml:space="preserve"> and </w:t>
      </w:r>
      <w:r w:rsidR="008F544C">
        <w:rPr>
          <w:b/>
        </w:rPr>
        <w:t xml:space="preserve">to </w:t>
      </w:r>
      <w:r w:rsidR="00881613">
        <w:rPr>
          <w:b/>
        </w:rPr>
        <w:t xml:space="preserve">enable efficient spectrum </w:t>
      </w:r>
      <w:r w:rsidR="008F544C">
        <w:rPr>
          <w:b/>
        </w:rPr>
        <w:t>utilization</w:t>
      </w:r>
      <w:r w:rsidR="00881613">
        <w:rPr>
          <w:b/>
        </w:rPr>
        <w:t xml:space="preserve"> through multi</w:t>
      </w:r>
      <w:r w:rsidR="008F544C">
        <w:rPr>
          <w:b/>
        </w:rPr>
        <w:t>-user MIMO and multi-cell reuse-</w:t>
      </w:r>
      <w:r w:rsidR="00881613">
        <w:rPr>
          <w:b/>
        </w:rPr>
        <w:t>1 transmissions.</w:t>
      </w:r>
    </w:p>
    <w:p w14:paraId="0906EB6A" w14:textId="77777777" w:rsidR="00426B8E" w:rsidRDefault="00426B8E" w:rsidP="00AA62E3">
      <w:pPr>
        <w:rPr>
          <w:b/>
        </w:rPr>
      </w:pPr>
    </w:p>
    <w:p w14:paraId="6981E89E" w14:textId="77777777" w:rsidR="00426B8E" w:rsidRDefault="00426B8E" w:rsidP="00AA62E3">
      <w:pPr>
        <w:rPr>
          <w:b/>
        </w:rPr>
      </w:pPr>
    </w:p>
    <w:p w14:paraId="0B181C03" w14:textId="77777777" w:rsidR="00881613" w:rsidRDefault="00881613" w:rsidP="00AA62E3">
      <w:pPr>
        <w:rPr>
          <w:sz w:val="22"/>
          <w:szCs w:val="22"/>
        </w:rPr>
      </w:pPr>
    </w:p>
    <w:p w14:paraId="1F78EFE1" w14:textId="04B89D57" w:rsidR="003705DD" w:rsidRDefault="003705DD" w:rsidP="00AA62E3">
      <w:pPr>
        <w:pStyle w:val="Heading1"/>
      </w:pPr>
      <w:r>
        <w:lastRenderedPageBreak/>
        <w:t>Summary</w:t>
      </w:r>
    </w:p>
    <w:p w14:paraId="7D975BE2" w14:textId="087F84CF" w:rsidR="003705DD" w:rsidRDefault="003705DD" w:rsidP="003705DD">
      <w:r>
        <w:t xml:space="preserve">In this document we have </w:t>
      </w:r>
      <w:r w:rsidR="00AA62E3">
        <w:t>discussed potential LBT enhancements for NR operation in unlicensed spectrum</w:t>
      </w:r>
      <w:r>
        <w:t>. In summary we make the following</w:t>
      </w:r>
      <w:r w:rsidR="0053586B">
        <w:t xml:space="preserve"> observations and</w:t>
      </w:r>
      <w:r>
        <w:t xml:space="preserve"> proposal</w:t>
      </w:r>
      <w:r w:rsidR="00AA62E3">
        <w:t>s</w:t>
      </w:r>
      <w:r>
        <w:t xml:space="preserve">: </w:t>
      </w:r>
    </w:p>
    <w:p w14:paraId="4753809D" w14:textId="4ACC982D" w:rsidR="00764288" w:rsidRDefault="00764288" w:rsidP="00764288">
      <w:pPr>
        <w:rPr>
          <w:b/>
        </w:rPr>
      </w:pPr>
      <w:r w:rsidRPr="005553CE">
        <w:rPr>
          <w:b/>
        </w:rPr>
        <w:t xml:space="preserve">Proposal </w:t>
      </w:r>
      <w:r>
        <w:rPr>
          <w:b/>
        </w:rPr>
        <w:t>1</w:t>
      </w:r>
      <w:r w:rsidRPr="005553CE">
        <w:rPr>
          <w:b/>
        </w:rPr>
        <w:t xml:space="preserve">: </w:t>
      </w:r>
      <w:r w:rsidR="00025864">
        <w:rPr>
          <w:rFonts w:asciiTheme="minorHAnsi" w:hAnsiTheme="minorHAnsi"/>
          <w:b/>
        </w:rPr>
        <w:t>NR unlicensed should make efficient use of advanced multi-antenna techniques. Beam based LBT should be considered for improving channel access and reuse</w:t>
      </w:r>
      <w:r w:rsidR="00025864" w:rsidRPr="00334BB6">
        <w:rPr>
          <w:rFonts w:asciiTheme="minorHAnsi" w:hAnsiTheme="minorHAnsi"/>
          <w:b/>
        </w:rPr>
        <w:t>.</w:t>
      </w:r>
    </w:p>
    <w:p w14:paraId="1493EF16" w14:textId="20BAE718" w:rsidR="0053586B" w:rsidRDefault="00764288" w:rsidP="0053586B">
      <w:pPr>
        <w:spacing w:after="0"/>
        <w:rPr>
          <w:b/>
        </w:rPr>
      </w:pPr>
      <w:r>
        <w:rPr>
          <w:b/>
          <w:bCs/>
        </w:rPr>
        <w:t>Proposal 2: LBT techniques should be adaptive and need based. The SI should study mechanisms and define conditions by which LBT can be turned off and/or made adaptive.</w:t>
      </w:r>
    </w:p>
    <w:p w14:paraId="2474169B" w14:textId="77777777" w:rsidR="0053586B" w:rsidRPr="0002554E" w:rsidRDefault="0053586B" w:rsidP="0053586B">
      <w:pPr>
        <w:spacing w:after="0"/>
        <w:rPr>
          <w:b/>
        </w:rPr>
      </w:pPr>
      <w:r w:rsidRPr="0002554E">
        <w:rPr>
          <w:b/>
        </w:rPr>
        <w:t>Observation 1: By utilizing the licensed carrier, the LBT procedure can become more robust with lower latency/overhead than techniques which can only utilize unlicensed spectrum.</w:t>
      </w:r>
    </w:p>
    <w:p w14:paraId="2D5AEA68" w14:textId="77777777" w:rsidR="0053586B" w:rsidRPr="0002554E" w:rsidRDefault="0053586B" w:rsidP="0053586B">
      <w:pPr>
        <w:rPr>
          <w:b/>
        </w:rPr>
      </w:pPr>
      <w:r w:rsidRPr="0002554E">
        <w:rPr>
          <w:b/>
        </w:rPr>
        <w:t xml:space="preserve">Observation </w:t>
      </w:r>
      <w:r>
        <w:rPr>
          <w:b/>
        </w:rPr>
        <w:t>2</w:t>
      </w:r>
      <w:r w:rsidRPr="0002554E">
        <w:rPr>
          <w:b/>
        </w:rPr>
        <w:t xml:space="preserve">: </w:t>
      </w:r>
      <w:r w:rsidRPr="00AA62E3">
        <w:rPr>
          <w:b/>
        </w:rPr>
        <w:t>In case multiple UEs indicate clear channel status, the gNB may schedule them simultaneously for example with multi-user MIMO transmissions, increasing the spectral efficiency of the NR-U carrier.</w:t>
      </w:r>
    </w:p>
    <w:p w14:paraId="1F16A3B9" w14:textId="77777777" w:rsidR="0053586B" w:rsidRDefault="0053586B" w:rsidP="0053586B">
      <w:pPr>
        <w:rPr>
          <w:b/>
        </w:rPr>
      </w:pPr>
      <w:r w:rsidRPr="0002554E">
        <w:rPr>
          <w:b/>
        </w:rPr>
        <w:t xml:space="preserve">Observation </w:t>
      </w:r>
      <w:r>
        <w:rPr>
          <w:b/>
        </w:rPr>
        <w:t>3</w:t>
      </w:r>
      <w:r w:rsidRPr="0002554E">
        <w:rPr>
          <w:b/>
        </w:rPr>
        <w:t xml:space="preserve">: </w:t>
      </w:r>
      <w:r>
        <w:rPr>
          <w:b/>
        </w:rPr>
        <w:t xml:space="preserve">Closed-Loop LBT can be used to enable functionality for NR-U which maximizes </w:t>
      </w:r>
      <w:r w:rsidRPr="0053586B">
        <w:rPr>
          <w:b/>
        </w:rPr>
        <w:t>frequency reuse</w:t>
      </w:r>
      <w:r>
        <w:rPr>
          <w:b/>
        </w:rPr>
        <w:t>,</w:t>
      </w:r>
      <w:r w:rsidRPr="0053586B">
        <w:rPr>
          <w:b/>
        </w:rPr>
        <w:t xml:space="preserve"> especially when operating under light load or sparse deployment</w:t>
      </w:r>
      <w:r w:rsidRPr="00AA62E3">
        <w:rPr>
          <w:b/>
        </w:rPr>
        <w:t>.</w:t>
      </w:r>
    </w:p>
    <w:p w14:paraId="4293B9F9" w14:textId="3D404595" w:rsidR="0053586B" w:rsidRDefault="0053586B" w:rsidP="0053586B">
      <w:pPr>
        <w:rPr>
          <w:b/>
        </w:rPr>
      </w:pPr>
      <w:r w:rsidRPr="005553CE">
        <w:rPr>
          <w:b/>
        </w:rPr>
        <w:t xml:space="preserve">Proposal </w:t>
      </w:r>
      <w:r w:rsidR="00764288">
        <w:rPr>
          <w:b/>
        </w:rPr>
        <w:t>3</w:t>
      </w:r>
      <w:r w:rsidRPr="005553CE">
        <w:rPr>
          <w:b/>
        </w:rPr>
        <w:t xml:space="preserve">: </w:t>
      </w:r>
      <w:r>
        <w:rPr>
          <w:b/>
        </w:rPr>
        <w:t xml:space="preserve">The NR-U SI should study </w:t>
      </w:r>
      <w:r w:rsidRPr="00881613">
        <w:rPr>
          <w:b/>
        </w:rPr>
        <w:t xml:space="preserve">Closed-Loop LBT techniques which utilize licensed spectrum </w:t>
      </w:r>
      <w:r>
        <w:rPr>
          <w:b/>
        </w:rPr>
        <w:t xml:space="preserve">signaling and UE sensing feedback </w:t>
      </w:r>
      <w:r w:rsidRPr="00881613">
        <w:rPr>
          <w:b/>
        </w:rPr>
        <w:t>for avoiding hidden</w:t>
      </w:r>
      <w:r>
        <w:rPr>
          <w:b/>
        </w:rPr>
        <w:t>/exposed</w:t>
      </w:r>
      <w:r w:rsidRPr="00881613">
        <w:rPr>
          <w:b/>
        </w:rPr>
        <w:t xml:space="preserve"> node problems</w:t>
      </w:r>
      <w:r>
        <w:rPr>
          <w:b/>
        </w:rPr>
        <w:t xml:space="preserve"> and to enable efficient spectrum utilization through multi-user MIMO and multi-cell reuse-1 transmissions.</w:t>
      </w:r>
    </w:p>
    <w:p w14:paraId="6B17445A" w14:textId="77777777" w:rsidR="00257F9A" w:rsidRDefault="00F67C2E" w:rsidP="00F67C2E">
      <w:pPr>
        <w:pStyle w:val="Heading1"/>
      </w:pPr>
      <w:r>
        <w:t>Reference</w:t>
      </w:r>
    </w:p>
    <w:p w14:paraId="5EEB6DAE" w14:textId="76025CFC" w:rsidR="00B17EEB" w:rsidRPr="00AA62E3" w:rsidRDefault="00F67C2E" w:rsidP="0014178F">
      <w:pPr>
        <w:pStyle w:val="ListParagraph"/>
        <w:numPr>
          <w:ilvl w:val="0"/>
          <w:numId w:val="15"/>
        </w:numPr>
        <w:spacing w:before="0" w:after="180"/>
        <w:ind w:left="450" w:hanging="450"/>
        <w:jc w:val="left"/>
        <w:rPr>
          <w:rFonts w:eastAsia="SimSun"/>
          <w:color w:val="000000"/>
          <w:lang w:eastAsia="zh-CN"/>
        </w:rPr>
      </w:pPr>
      <w:r w:rsidRPr="00AA62E3">
        <w:rPr>
          <w:rFonts w:eastAsia="SimSun"/>
          <w:color w:val="000000"/>
          <w:lang w:eastAsia="zh-CN"/>
        </w:rPr>
        <w:t>RP-170828, New SID on NR-based Access to Unlicensed Spectrum, 3GPP TSG RAN Meeting #75, Qualcomm, March, 2017</w:t>
      </w:r>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B3F14" w14:textId="77777777" w:rsidR="00BF5DD7" w:rsidRDefault="00BF5DD7" w:rsidP="00424124">
      <w:pPr>
        <w:spacing w:before="0" w:after="0"/>
      </w:pPr>
      <w:r>
        <w:separator/>
      </w:r>
    </w:p>
  </w:endnote>
  <w:endnote w:type="continuationSeparator" w:id="0">
    <w:p w14:paraId="3A7D2440" w14:textId="77777777" w:rsidR="00BF5DD7" w:rsidRDefault="00BF5DD7"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C6E31" w14:textId="77777777" w:rsidR="00BF5DD7" w:rsidRDefault="00BF5DD7" w:rsidP="00424124">
      <w:pPr>
        <w:spacing w:before="0" w:after="0"/>
      </w:pPr>
      <w:r>
        <w:separator/>
      </w:r>
    </w:p>
  </w:footnote>
  <w:footnote w:type="continuationSeparator" w:id="0">
    <w:p w14:paraId="7E777DA0" w14:textId="77777777" w:rsidR="00BF5DD7" w:rsidRDefault="00BF5DD7"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4"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0"/>
  </w:num>
  <w:num w:numId="2">
    <w:abstractNumId w:val="3"/>
  </w:num>
  <w:num w:numId="3">
    <w:abstractNumId w:val="12"/>
  </w:num>
  <w:num w:numId="4">
    <w:abstractNumId w:val="0"/>
  </w:num>
  <w:num w:numId="5">
    <w:abstractNumId w:val="15"/>
  </w:num>
  <w:num w:numId="6">
    <w:abstractNumId w:val="13"/>
  </w:num>
  <w:num w:numId="7">
    <w:abstractNumId w:val="1"/>
  </w:num>
  <w:num w:numId="8">
    <w:abstractNumId w:val="6"/>
  </w:num>
  <w:num w:numId="9">
    <w:abstractNumId w:val="14"/>
  </w:num>
  <w:num w:numId="10">
    <w:abstractNumId w:val="5"/>
  </w:num>
  <w:num w:numId="11">
    <w:abstractNumId w:val="4"/>
  </w:num>
  <w:num w:numId="12">
    <w:abstractNumId w:val="7"/>
  </w:num>
  <w:num w:numId="13">
    <w:abstractNumId w:val="9"/>
  </w:num>
  <w:num w:numId="14">
    <w:abstractNumId w:val="11"/>
  </w:num>
  <w:num w:numId="15">
    <w:abstractNumId w:val="2"/>
  </w:num>
  <w:num w:numId="16">
    <w:abstractNumId w:val="8"/>
  </w:num>
  <w:num w:numId="17">
    <w:abstractNumId w:val="12"/>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9C4"/>
    <w:rsid w:val="00001BBA"/>
    <w:rsid w:val="000052FF"/>
    <w:rsid w:val="0001485D"/>
    <w:rsid w:val="000149EC"/>
    <w:rsid w:val="00020F1A"/>
    <w:rsid w:val="00021B12"/>
    <w:rsid w:val="0002241D"/>
    <w:rsid w:val="0002554E"/>
    <w:rsid w:val="00025864"/>
    <w:rsid w:val="00032D47"/>
    <w:rsid w:val="00043E82"/>
    <w:rsid w:val="00045166"/>
    <w:rsid w:val="000463E4"/>
    <w:rsid w:val="00051B4B"/>
    <w:rsid w:val="0005287A"/>
    <w:rsid w:val="00053101"/>
    <w:rsid w:val="000541BF"/>
    <w:rsid w:val="000550BC"/>
    <w:rsid w:val="000643FA"/>
    <w:rsid w:val="000730C9"/>
    <w:rsid w:val="0007575F"/>
    <w:rsid w:val="00075C88"/>
    <w:rsid w:val="00075FD1"/>
    <w:rsid w:val="0007622C"/>
    <w:rsid w:val="00085800"/>
    <w:rsid w:val="000865E3"/>
    <w:rsid w:val="000917C5"/>
    <w:rsid w:val="00093068"/>
    <w:rsid w:val="000977EE"/>
    <w:rsid w:val="000A36A9"/>
    <w:rsid w:val="000B0720"/>
    <w:rsid w:val="000B62EA"/>
    <w:rsid w:val="000B6D99"/>
    <w:rsid w:val="000C57B9"/>
    <w:rsid w:val="000D025C"/>
    <w:rsid w:val="000D2643"/>
    <w:rsid w:val="000D38DC"/>
    <w:rsid w:val="000E29D8"/>
    <w:rsid w:val="000E5F17"/>
    <w:rsid w:val="000F41B9"/>
    <w:rsid w:val="000F6524"/>
    <w:rsid w:val="0010303E"/>
    <w:rsid w:val="00111F1B"/>
    <w:rsid w:val="0011327D"/>
    <w:rsid w:val="0011368E"/>
    <w:rsid w:val="00116DA6"/>
    <w:rsid w:val="0014178F"/>
    <w:rsid w:val="001417A8"/>
    <w:rsid w:val="00153793"/>
    <w:rsid w:val="00156D74"/>
    <w:rsid w:val="00167D68"/>
    <w:rsid w:val="00172743"/>
    <w:rsid w:val="001941FB"/>
    <w:rsid w:val="001A34BE"/>
    <w:rsid w:val="001A5A68"/>
    <w:rsid w:val="001A6212"/>
    <w:rsid w:val="001A75E0"/>
    <w:rsid w:val="001B731B"/>
    <w:rsid w:val="001C699C"/>
    <w:rsid w:val="001E0CE1"/>
    <w:rsid w:val="001E58CC"/>
    <w:rsid w:val="001F59ED"/>
    <w:rsid w:val="00211D37"/>
    <w:rsid w:val="00212204"/>
    <w:rsid w:val="00216763"/>
    <w:rsid w:val="00216DF5"/>
    <w:rsid w:val="00220E3A"/>
    <w:rsid w:val="002211DE"/>
    <w:rsid w:val="00222269"/>
    <w:rsid w:val="00222813"/>
    <w:rsid w:val="00223678"/>
    <w:rsid w:val="0023075C"/>
    <w:rsid w:val="00233D70"/>
    <w:rsid w:val="00235373"/>
    <w:rsid w:val="00242F81"/>
    <w:rsid w:val="00246D61"/>
    <w:rsid w:val="0024786A"/>
    <w:rsid w:val="0025058B"/>
    <w:rsid w:val="00256257"/>
    <w:rsid w:val="00257F9A"/>
    <w:rsid w:val="00262116"/>
    <w:rsid w:val="002641FE"/>
    <w:rsid w:val="00267362"/>
    <w:rsid w:val="002725E8"/>
    <w:rsid w:val="00272EC2"/>
    <w:rsid w:val="00273B2A"/>
    <w:rsid w:val="00274677"/>
    <w:rsid w:val="0028740C"/>
    <w:rsid w:val="002879EB"/>
    <w:rsid w:val="0029147A"/>
    <w:rsid w:val="00297225"/>
    <w:rsid w:val="002A005E"/>
    <w:rsid w:val="002A0226"/>
    <w:rsid w:val="002A0270"/>
    <w:rsid w:val="002C0488"/>
    <w:rsid w:val="002C2227"/>
    <w:rsid w:val="002C4097"/>
    <w:rsid w:val="002D0CCE"/>
    <w:rsid w:val="002D3D42"/>
    <w:rsid w:val="002D479B"/>
    <w:rsid w:val="002D59EA"/>
    <w:rsid w:val="002D6DFE"/>
    <w:rsid w:val="002D6EC9"/>
    <w:rsid w:val="002D787B"/>
    <w:rsid w:val="002E0939"/>
    <w:rsid w:val="002E1960"/>
    <w:rsid w:val="002E6296"/>
    <w:rsid w:val="002E6605"/>
    <w:rsid w:val="002F12DF"/>
    <w:rsid w:val="002F5136"/>
    <w:rsid w:val="00313064"/>
    <w:rsid w:val="00315DC4"/>
    <w:rsid w:val="00317020"/>
    <w:rsid w:val="00320B4D"/>
    <w:rsid w:val="00324890"/>
    <w:rsid w:val="00325DAA"/>
    <w:rsid w:val="00326F00"/>
    <w:rsid w:val="00326FF6"/>
    <w:rsid w:val="00327A22"/>
    <w:rsid w:val="00335D1C"/>
    <w:rsid w:val="00340AC1"/>
    <w:rsid w:val="00342130"/>
    <w:rsid w:val="0034406D"/>
    <w:rsid w:val="00346605"/>
    <w:rsid w:val="0035318F"/>
    <w:rsid w:val="00354C01"/>
    <w:rsid w:val="00355B9A"/>
    <w:rsid w:val="00356887"/>
    <w:rsid w:val="0036306A"/>
    <w:rsid w:val="00366EFE"/>
    <w:rsid w:val="003705DD"/>
    <w:rsid w:val="003727DB"/>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137D5"/>
    <w:rsid w:val="004146B7"/>
    <w:rsid w:val="00424124"/>
    <w:rsid w:val="00426B8E"/>
    <w:rsid w:val="00434212"/>
    <w:rsid w:val="00440F6E"/>
    <w:rsid w:val="00443645"/>
    <w:rsid w:val="00443CD6"/>
    <w:rsid w:val="00453805"/>
    <w:rsid w:val="004539BD"/>
    <w:rsid w:val="004547B0"/>
    <w:rsid w:val="004552C9"/>
    <w:rsid w:val="004607AC"/>
    <w:rsid w:val="0046127E"/>
    <w:rsid w:val="004626B7"/>
    <w:rsid w:val="004678E1"/>
    <w:rsid w:val="00473281"/>
    <w:rsid w:val="00473586"/>
    <w:rsid w:val="00473B68"/>
    <w:rsid w:val="0047618F"/>
    <w:rsid w:val="00482B14"/>
    <w:rsid w:val="0048301B"/>
    <w:rsid w:val="00496EAE"/>
    <w:rsid w:val="004A5ABE"/>
    <w:rsid w:val="004A6424"/>
    <w:rsid w:val="004A69D0"/>
    <w:rsid w:val="004A6A82"/>
    <w:rsid w:val="004B6AA8"/>
    <w:rsid w:val="004B6E00"/>
    <w:rsid w:val="004C186B"/>
    <w:rsid w:val="004C3F2E"/>
    <w:rsid w:val="004C4856"/>
    <w:rsid w:val="004C7784"/>
    <w:rsid w:val="004D7227"/>
    <w:rsid w:val="004D780D"/>
    <w:rsid w:val="004D7CF8"/>
    <w:rsid w:val="004E4EDA"/>
    <w:rsid w:val="004E6BC0"/>
    <w:rsid w:val="004E6D3B"/>
    <w:rsid w:val="004F264D"/>
    <w:rsid w:val="005055A6"/>
    <w:rsid w:val="00507060"/>
    <w:rsid w:val="0051179B"/>
    <w:rsid w:val="0051424F"/>
    <w:rsid w:val="00522DDD"/>
    <w:rsid w:val="00523623"/>
    <w:rsid w:val="005259A3"/>
    <w:rsid w:val="005267DB"/>
    <w:rsid w:val="00526CF5"/>
    <w:rsid w:val="00530CB9"/>
    <w:rsid w:val="0053586B"/>
    <w:rsid w:val="0054400A"/>
    <w:rsid w:val="005553CE"/>
    <w:rsid w:val="0056238B"/>
    <w:rsid w:val="00565BDB"/>
    <w:rsid w:val="00566D34"/>
    <w:rsid w:val="005700A9"/>
    <w:rsid w:val="0057145F"/>
    <w:rsid w:val="005758E7"/>
    <w:rsid w:val="005778C8"/>
    <w:rsid w:val="0058113E"/>
    <w:rsid w:val="0058120D"/>
    <w:rsid w:val="00582E47"/>
    <w:rsid w:val="0059634F"/>
    <w:rsid w:val="005B0B01"/>
    <w:rsid w:val="005B4697"/>
    <w:rsid w:val="005B47BD"/>
    <w:rsid w:val="005B6FA6"/>
    <w:rsid w:val="005D2C51"/>
    <w:rsid w:val="005F613D"/>
    <w:rsid w:val="005F6B0A"/>
    <w:rsid w:val="005F6EBB"/>
    <w:rsid w:val="00603015"/>
    <w:rsid w:val="0060603E"/>
    <w:rsid w:val="006325F6"/>
    <w:rsid w:val="0063350A"/>
    <w:rsid w:val="00634707"/>
    <w:rsid w:val="0063597B"/>
    <w:rsid w:val="006375EC"/>
    <w:rsid w:val="006378CA"/>
    <w:rsid w:val="00644034"/>
    <w:rsid w:val="00652AC8"/>
    <w:rsid w:val="0066157D"/>
    <w:rsid w:val="006674DA"/>
    <w:rsid w:val="00671A08"/>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0B85"/>
    <w:rsid w:val="006E790B"/>
    <w:rsid w:val="006F055C"/>
    <w:rsid w:val="006F3A2E"/>
    <w:rsid w:val="007024FE"/>
    <w:rsid w:val="00707D20"/>
    <w:rsid w:val="00721AD7"/>
    <w:rsid w:val="007225EF"/>
    <w:rsid w:val="00722BA6"/>
    <w:rsid w:val="00723DC5"/>
    <w:rsid w:val="00727952"/>
    <w:rsid w:val="007338D6"/>
    <w:rsid w:val="00740B36"/>
    <w:rsid w:val="00745EBA"/>
    <w:rsid w:val="00746DED"/>
    <w:rsid w:val="00747A6F"/>
    <w:rsid w:val="0075622F"/>
    <w:rsid w:val="0076067D"/>
    <w:rsid w:val="00764288"/>
    <w:rsid w:val="00774F2A"/>
    <w:rsid w:val="00782B9C"/>
    <w:rsid w:val="00782CDC"/>
    <w:rsid w:val="007839F9"/>
    <w:rsid w:val="007A2765"/>
    <w:rsid w:val="007A2E96"/>
    <w:rsid w:val="007A546E"/>
    <w:rsid w:val="007B13E5"/>
    <w:rsid w:val="007B2F6B"/>
    <w:rsid w:val="007B473A"/>
    <w:rsid w:val="007D2A36"/>
    <w:rsid w:val="007D2C48"/>
    <w:rsid w:val="007D4056"/>
    <w:rsid w:val="007E546F"/>
    <w:rsid w:val="007F1928"/>
    <w:rsid w:val="007F343C"/>
    <w:rsid w:val="007F392E"/>
    <w:rsid w:val="00801422"/>
    <w:rsid w:val="008016B6"/>
    <w:rsid w:val="00806FA9"/>
    <w:rsid w:val="00811234"/>
    <w:rsid w:val="00811A1B"/>
    <w:rsid w:val="008135D0"/>
    <w:rsid w:val="008204DD"/>
    <w:rsid w:val="00824DED"/>
    <w:rsid w:val="00826E5A"/>
    <w:rsid w:val="008313C8"/>
    <w:rsid w:val="008437B2"/>
    <w:rsid w:val="00843A9C"/>
    <w:rsid w:val="00843F1C"/>
    <w:rsid w:val="008500BA"/>
    <w:rsid w:val="00850DCE"/>
    <w:rsid w:val="00853ACA"/>
    <w:rsid w:val="00854FBB"/>
    <w:rsid w:val="008661BA"/>
    <w:rsid w:val="00871CA8"/>
    <w:rsid w:val="00881613"/>
    <w:rsid w:val="008836DC"/>
    <w:rsid w:val="00885004"/>
    <w:rsid w:val="00887AB4"/>
    <w:rsid w:val="00894290"/>
    <w:rsid w:val="008979E7"/>
    <w:rsid w:val="008A0061"/>
    <w:rsid w:val="008A25A1"/>
    <w:rsid w:val="008B39B6"/>
    <w:rsid w:val="008C18F2"/>
    <w:rsid w:val="008C1AFD"/>
    <w:rsid w:val="008C4B67"/>
    <w:rsid w:val="008D1AEF"/>
    <w:rsid w:val="008D5F8F"/>
    <w:rsid w:val="008E14F3"/>
    <w:rsid w:val="008E1F61"/>
    <w:rsid w:val="008F4140"/>
    <w:rsid w:val="008F544C"/>
    <w:rsid w:val="009032D5"/>
    <w:rsid w:val="00905E86"/>
    <w:rsid w:val="009124E4"/>
    <w:rsid w:val="009168C7"/>
    <w:rsid w:val="00925891"/>
    <w:rsid w:val="00925FA2"/>
    <w:rsid w:val="00926A9C"/>
    <w:rsid w:val="00927803"/>
    <w:rsid w:val="00927C5B"/>
    <w:rsid w:val="00930428"/>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3D92"/>
    <w:rsid w:val="009A4D63"/>
    <w:rsid w:val="009A54FC"/>
    <w:rsid w:val="009B08C5"/>
    <w:rsid w:val="009B52C0"/>
    <w:rsid w:val="009C2167"/>
    <w:rsid w:val="009C324F"/>
    <w:rsid w:val="009C6D2C"/>
    <w:rsid w:val="009D46C1"/>
    <w:rsid w:val="009E0D02"/>
    <w:rsid w:val="009E5838"/>
    <w:rsid w:val="009E662A"/>
    <w:rsid w:val="00A039FE"/>
    <w:rsid w:val="00A04465"/>
    <w:rsid w:val="00A11704"/>
    <w:rsid w:val="00A11840"/>
    <w:rsid w:val="00A12440"/>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495"/>
    <w:rsid w:val="00AA5899"/>
    <w:rsid w:val="00AA62E3"/>
    <w:rsid w:val="00AB75A3"/>
    <w:rsid w:val="00AB7FC6"/>
    <w:rsid w:val="00AD115D"/>
    <w:rsid w:val="00AD16AE"/>
    <w:rsid w:val="00AD6C53"/>
    <w:rsid w:val="00AE5886"/>
    <w:rsid w:val="00AE72F4"/>
    <w:rsid w:val="00AF0A4B"/>
    <w:rsid w:val="00AF65DE"/>
    <w:rsid w:val="00AF7131"/>
    <w:rsid w:val="00B04278"/>
    <w:rsid w:val="00B12672"/>
    <w:rsid w:val="00B163AD"/>
    <w:rsid w:val="00B17EEB"/>
    <w:rsid w:val="00B23254"/>
    <w:rsid w:val="00B2434D"/>
    <w:rsid w:val="00B24D29"/>
    <w:rsid w:val="00B34716"/>
    <w:rsid w:val="00B42477"/>
    <w:rsid w:val="00B477CA"/>
    <w:rsid w:val="00B61A13"/>
    <w:rsid w:val="00B625B1"/>
    <w:rsid w:val="00B648CA"/>
    <w:rsid w:val="00B74894"/>
    <w:rsid w:val="00B77E48"/>
    <w:rsid w:val="00B803B1"/>
    <w:rsid w:val="00B81CFE"/>
    <w:rsid w:val="00B82B83"/>
    <w:rsid w:val="00B86119"/>
    <w:rsid w:val="00B875F7"/>
    <w:rsid w:val="00B909F7"/>
    <w:rsid w:val="00B94AAD"/>
    <w:rsid w:val="00B95A12"/>
    <w:rsid w:val="00B96A24"/>
    <w:rsid w:val="00BA677D"/>
    <w:rsid w:val="00BA6FDB"/>
    <w:rsid w:val="00BB40CC"/>
    <w:rsid w:val="00BC10A1"/>
    <w:rsid w:val="00BC31F9"/>
    <w:rsid w:val="00BC6F83"/>
    <w:rsid w:val="00BD2B71"/>
    <w:rsid w:val="00BD34B4"/>
    <w:rsid w:val="00BD3C51"/>
    <w:rsid w:val="00BD6AA5"/>
    <w:rsid w:val="00BE2C56"/>
    <w:rsid w:val="00BE73BE"/>
    <w:rsid w:val="00BF0E63"/>
    <w:rsid w:val="00BF2C5D"/>
    <w:rsid w:val="00BF31E3"/>
    <w:rsid w:val="00BF321D"/>
    <w:rsid w:val="00BF5DD7"/>
    <w:rsid w:val="00C07731"/>
    <w:rsid w:val="00C12D16"/>
    <w:rsid w:val="00C218A9"/>
    <w:rsid w:val="00C34D56"/>
    <w:rsid w:val="00C47EE0"/>
    <w:rsid w:val="00C53758"/>
    <w:rsid w:val="00C60992"/>
    <w:rsid w:val="00C63006"/>
    <w:rsid w:val="00C631E3"/>
    <w:rsid w:val="00C645A7"/>
    <w:rsid w:val="00C67568"/>
    <w:rsid w:val="00C71871"/>
    <w:rsid w:val="00C77666"/>
    <w:rsid w:val="00C8290A"/>
    <w:rsid w:val="00C83FE6"/>
    <w:rsid w:val="00C913B6"/>
    <w:rsid w:val="00C94A6B"/>
    <w:rsid w:val="00CA6EA3"/>
    <w:rsid w:val="00CB15A7"/>
    <w:rsid w:val="00CB1A37"/>
    <w:rsid w:val="00CB1DA8"/>
    <w:rsid w:val="00CB6D97"/>
    <w:rsid w:val="00CE0C9D"/>
    <w:rsid w:val="00CE1E0E"/>
    <w:rsid w:val="00D20AFC"/>
    <w:rsid w:val="00D211FF"/>
    <w:rsid w:val="00D23CDC"/>
    <w:rsid w:val="00D268EB"/>
    <w:rsid w:val="00D26CFF"/>
    <w:rsid w:val="00D274C6"/>
    <w:rsid w:val="00D4354E"/>
    <w:rsid w:val="00D43B0A"/>
    <w:rsid w:val="00D44CA3"/>
    <w:rsid w:val="00D456D8"/>
    <w:rsid w:val="00D45A0E"/>
    <w:rsid w:val="00D4758C"/>
    <w:rsid w:val="00D55FAB"/>
    <w:rsid w:val="00D56786"/>
    <w:rsid w:val="00D60F04"/>
    <w:rsid w:val="00D61EAB"/>
    <w:rsid w:val="00D701D3"/>
    <w:rsid w:val="00D7445F"/>
    <w:rsid w:val="00D910ED"/>
    <w:rsid w:val="00D92B1D"/>
    <w:rsid w:val="00D960F4"/>
    <w:rsid w:val="00DC0E31"/>
    <w:rsid w:val="00DC5CBE"/>
    <w:rsid w:val="00DC70D0"/>
    <w:rsid w:val="00DC7DD6"/>
    <w:rsid w:val="00DE59A7"/>
    <w:rsid w:val="00DE66C5"/>
    <w:rsid w:val="00DF2780"/>
    <w:rsid w:val="00DF54D5"/>
    <w:rsid w:val="00E13146"/>
    <w:rsid w:val="00E14FE8"/>
    <w:rsid w:val="00E169AE"/>
    <w:rsid w:val="00E174FC"/>
    <w:rsid w:val="00E20070"/>
    <w:rsid w:val="00E20994"/>
    <w:rsid w:val="00E22124"/>
    <w:rsid w:val="00E24D40"/>
    <w:rsid w:val="00E261AD"/>
    <w:rsid w:val="00E324C0"/>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4A75"/>
    <w:rsid w:val="00EB5FBB"/>
    <w:rsid w:val="00EC6929"/>
    <w:rsid w:val="00EC6A0B"/>
    <w:rsid w:val="00ED407A"/>
    <w:rsid w:val="00EE4A18"/>
    <w:rsid w:val="00EF61D1"/>
    <w:rsid w:val="00EF70F2"/>
    <w:rsid w:val="00F01D63"/>
    <w:rsid w:val="00F154D0"/>
    <w:rsid w:val="00F17550"/>
    <w:rsid w:val="00F230F7"/>
    <w:rsid w:val="00F24169"/>
    <w:rsid w:val="00F261D6"/>
    <w:rsid w:val="00F319E6"/>
    <w:rsid w:val="00F329F4"/>
    <w:rsid w:val="00F35911"/>
    <w:rsid w:val="00F42D43"/>
    <w:rsid w:val="00F57965"/>
    <w:rsid w:val="00F67C2E"/>
    <w:rsid w:val="00F72B1B"/>
    <w:rsid w:val="00F77E12"/>
    <w:rsid w:val="00F814DE"/>
    <w:rsid w:val="00F90045"/>
    <w:rsid w:val="00F925FE"/>
    <w:rsid w:val="00F9270C"/>
    <w:rsid w:val="00F9643F"/>
    <w:rsid w:val="00FA28D1"/>
    <w:rsid w:val="00FA3D8B"/>
    <w:rsid w:val="00FA6558"/>
    <w:rsid w:val="00FB1AAD"/>
    <w:rsid w:val="00FB6ED2"/>
    <w:rsid w:val="00FC6773"/>
    <w:rsid w:val="00FC7CE8"/>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384FB-25A3-491E-A59C-8EA57FE71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Hafeez, Abdulrauf</cp:lastModifiedBy>
  <cp:revision>10</cp:revision>
  <cp:lastPrinted>2016-02-23T15:51:00Z</cp:lastPrinted>
  <dcterms:created xsi:type="dcterms:W3CDTF">2018-04-06T20:28:00Z</dcterms:created>
  <dcterms:modified xsi:type="dcterms:W3CDTF">2018-04-06T21:34:00Z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